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F4B5" w14:textId="77777777" w:rsidR="002A16BD" w:rsidRPr="00EA05D4" w:rsidRDefault="002A16BD" w:rsidP="002A16BD">
      <w:pPr>
        <w:pStyle w:val="Docketnumber"/>
        <w:rPr>
          <w:sz w:val="24"/>
          <w:szCs w:val="24"/>
        </w:rPr>
      </w:pPr>
      <w:bookmarkStart w:id="0" w:name="_Hlk88039016"/>
      <w:r w:rsidRPr="00EA05D4">
        <w:rPr>
          <w:sz w:val="24"/>
          <w:szCs w:val="24"/>
        </w:rPr>
        <w:t>PUC DOCKET NO. 50788</w:t>
      </w:r>
    </w:p>
    <w:p w14:paraId="2259A131" w14:textId="77777777" w:rsidR="00AD100B" w:rsidRPr="00EA05D4" w:rsidRDefault="00AD100B" w:rsidP="00AD100B">
      <w:pPr>
        <w:pStyle w:val="Docketnumber"/>
        <w:rPr>
          <w:sz w:val="24"/>
          <w:szCs w:val="24"/>
        </w:rPr>
      </w:pPr>
      <w:r w:rsidRPr="00EA05D4">
        <w:rPr>
          <w:sz w:val="24"/>
          <w:szCs w:val="24"/>
        </w:rPr>
        <w:t>SOAH DOCKET NO. 473-20-4071.ws</w:t>
      </w:r>
    </w:p>
    <w:p w14:paraId="63899BAE" w14:textId="77777777" w:rsidR="00AD100B" w:rsidRPr="00EA05D4" w:rsidRDefault="00AD100B" w:rsidP="00AD100B">
      <w:pPr>
        <w:jc w:val="center"/>
        <w:rPr>
          <w:b/>
          <w:szCs w:val="24"/>
        </w:rPr>
      </w:pPr>
    </w:p>
    <w:tbl>
      <w:tblPr>
        <w:tblW w:w="9360" w:type="dxa"/>
        <w:jc w:val="center"/>
        <w:tblLook w:val="01E0" w:firstRow="1" w:lastRow="1" w:firstColumn="1" w:lastColumn="1" w:noHBand="0" w:noVBand="0"/>
      </w:tblPr>
      <w:tblGrid>
        <w:gridCol w:w="4320"/>
        <w:gridCol w:w="720"/>
        <w:gridCol w:w="4320"/>
      </w:tblGrid>
      <w:tr w:rsidR="00650721" w:rsidRPr="00EA05D4" w14:paraId="04737964" w14:textId="77777777" w:rsidTr="00FE261A">
        <w:trPr>
          <w:trHeight w:val="1431"/>
          <w:jc w:val="center"/>
        </w:trPr>
        <w:tc>
          <w:tcPr>
            <w:tcW w:w="4320" w:type="dxa"/>
          </w:tcPr>
          <w:p w14:paraId="31265BF8" w14:textId="77777777" w:rsidR="00AD100B" w:rsidRPr="00EA05D4" w:rsidRDefault="00AD100B" w:rsidP="00FE261A">
            <w:pPr>
              <w:jc w:val="left"/>
              <w:rPr>
                <w:b/>
                <w:caps/>
                <w:szCs w:val="24"/>
              </w:rPr>
            </w:pPr>
            <w:bookmarkStart w:id="1" w:name="_Hlk26961064"/>
            <w:r w:rsidRPr="00EA05D4">
              <w:rPr>
                <w:b/>
                <w:caps/>
                <w:szCs w:val="24"/>
              </w:rPr>
              <w:t>RATEPAYERS APPEAL OF THE DECISION BY WINDERMERE OAKS WATER SUPPLY CORPORATION TO CHANGE WATER AND SEWER RATES</w:t>
            </w:r>
          </w:p>
        </w:tc>
        <w:tc>
          <w:tcPr>
            <w:tcW w:w="720" w:type="dxa"/>
          </w:tcPr>
          <w:p w14:paraId="27A3194E" w14:textId="77777777" w:rsidR="00AD100B" w:rsidRPr="00EA05D4" w:rsidRDefault="00AD100B" w:rsidP="00FE261A">
            <w:pPr>
              <w:ind w:right="-195"/>
              <w:jc w:val="center"/>
              <w:rPr>
                <w:b/>
                <w:szCs w:val="24"/>
              </w:rPr>
            </w:pPr>
            <w:r w:rsidRPr="00EA05D4">
              <w:rPr>
                <w:b/>
                <w:szCs w:val="24"/>
              </w:rPr>
              <w:t>§</w:t>
            </w:r>
          </w:p>
          <w:p w14:paraId="370E8181" w14:textId="77777777" w:rsidR="00AD100B" w:rsidRPr="00EA05D4" w:rsidRDefault="00AD100B" w:rsidP="00FE261A">
            <w:pPr>
              <w:tabs>
                <w:tab w:val="left" w:pos="0"/>
              </w:tabs>
              <w:ind w:right="-195"/>
              <w:jc w:val="center"/>
              <w:rPr>
                <w:b/>
                <w:szCs w:val="24"/>
              </w:rPr>
            </w:pPr>
            <w:r w:rsidRPr="00EA05D4">
              <w:rPr>
                <w:b/>
                <w:szCs w:val="24"/>
              </w:rPr>
              <w:t>§</w:t>
            </w:r>
          </w:p>
          <w:p w14:paraId="428B063C" w14:textId="77777777" w:rsidR="00AD100B" w:rsidRPr="00EA05D4" w:rsidRDefault="00AD100B" w:rsidP="00FE261A">
            <w:pPr>
              <w:tabs>
                <w:tab w:val="left" w:pos="0"/>
                <w:tab w:val="left" w:pos="150"/>
              </w:tabs>
              <w:ind w:right="-195"/>
              <w:jc w:val="center"/>
              <w:rPr>
                <w:b/>
                <w:szCs w:val="24"/>
              </w:rPr>
            </w:pPr>
            <w:r w:rsidRPr="00EA05D4">
              <w:rPr>
                <w:b/>
                <w:szCs w:val="24"/>
              </w:rPr>
              <w:t>§</w:t>
            </w:r>
          </w:p>
          <w:p w14:paraId="6A7AF380" w14:textId="77777777" w:rsidR="00AD100B" w:rsidRPr="00EA05D4" w:rsidRDefault="00AD100B" w:rsidP="00FE261A">
            <w:pPr>
              <w:tabs>
                <w:tab w:val="left" w:pos="0"/>
                <w:tab w:val="left" w:pos="150"/>
              </w:tabs>
              <w:ind w:right="-195"/>
              <w:jc w:val="center"/>
              <w:rPr>
                <w:b/>
                <w:szCs w:val="24"/>
              </w:rPr>
            </w:pPr>
            <w:r w:rsidRPr="00EA05D4">
              <w:rPr>
                <w:b/>
                <w:szCs w:val="24"/>
              </w:rPr>
              <w:t>§</w:t>
            </w:r>
          </w:p>
          <w:p w14:paraId="09DC6F30" w14:textId="77777777" w:rsidR="00AD100B" w:rsidRPr="00EA05D4" w:rsidRDefault="00AD100B" w:rsidP="00FE261A">
            <w:pPr>
              <w:tabs>
                <w:tab w:val="left" w:pos="0"/>
                <w:tab w:val="left" w:pos="150"/>
              </w:tabs>
              <w:ind w:right="-195"/>
              <w:jc w:val="center"/>
              <w:rPr>
                <w:b/>
                <w:szCs w:val="24"/>
              </w:rPr>
            </w:pPr>
            <w:r w:rsidRPr="00EA05D4">
              <w:rPr>
                <w:b/>
                <w:szCs w:val="24"/>
              </w:rPr>
              <w:t>§</w:t>
            </w:r>
          </w:p>
        </w:tc>
        <w:tc>
          <w:tcPr>
            <w:tcW w:w="4320" w:type="dxa"/>
          </w:tcPr>
          <w:p w14:paraId="68A23750" w14:textId="77777777" w:rsidR="00AD100B" w:rsidRPr="00EA05D4" w:rsidRDefault="00AD100B" w:rsidP="00FE261A">
            <w:pPr>
              <w:pStyle w:val="Docketstyle"/>
              <w:spacing w:line="240" w:lineRule="auto"/>
              <w:jc w:val="center"/>
              <w:rPr>
                <w:bCs/>
                <w:szCs w:val="24"/>
              </w:rPr>
            </w:pPr>
            <w:r w:rsidRPr="00EA05D4">
              <w:rPr>
                <w:bCs/>
                <w:szCs w:val="24"/>
              </w:rPr>
              <w:t xml:space="preserve">Before the state office </w:t>
            </w:r>
          </w:p>
          <w:p w14:paraId="3230DEB7" w14:textId="77777777" w:rsidR="00AD100B" w:rsidRPr="00EA05D4" w:rsidRDefault="00AD100B" w:rsidP="00FE261A">
            <w:pPr>
              <w:pStyle w:val="Docketstyle"/>
              <w:spacing w:line="240" w:lineRule="auto"/>
              <w:jc w:val="center"/>
              <w:rPr>
                <w:bCs/>
                <w:szCs w:val="24"/>
              </w:rPr>
            </w:pPr>
          </w:p>
          <w:p w14:paraId="17DCE67A" w14:textId="77777777" w:rsidR="00AD100B" w:rsidRPr="00EA05D4" w:rsidRDefault="00AD100B" w:rsidP="00FE261A">
            <w:pPr>
              <w:pStyle w:val="Docketstyle"/>
              <w:spacing w:line="240" w:lineRule="auto"/>
              <w:jc w:val="center"/>
              <w:rPr>
                <w:bCs/>
                <w:szCs w:val="24"/>
              </w:rPr>
            </w:pPr>
            <w:r w:rsidRPr="00EA05D4">
              <w:rPr>
                <w:bCs/>
                <w:szCs w:val="24"/>
              </w:rPr>
              <w:t>of</w:t>
            </w:r>
          </w:p>
          <w:p w14:paraId="1082A18D" w14:textId="77777777" w:rsidR="00AD100B" w:rsidRPr="00EA05D4" w:rsidRDefault="00AD100B" w:rsidP="00FE261A">
            <w:pPr>
              <w:pStyle w:val="Docketstyle"/>
              <w:spacing w:line="240" w:lineRule="auto"/>
              <w:jc w:val="center"/>
              <w:rPr>
                <w:bCs/>
                <w:szCs w:val="24"/>
              </w:rPr>
            </w:pPr>
          </w:p>
          <w:p w14:paraId="7E7C5FC8" w14:textId="77777777" w:rsidR="00AD100B" w:rsidRPr="00EA05D4" w:rsidRDefault="00AD100B" w:rsidP="00FE261A">
            <w:pPr>
              <w:pStyle w:val="Docketstyle"/>
              <w:spacing w:line="240" w:lineRule="auto"/>
              <w:jc w:val="center"/>
              <w:rPr>
                <w:bCs/>
                <w:szCs w:val="24"/>
              </w:rPr>
            </w:pPr>
            <w:r w:rsidRPr="00EA05D4">
              <w:rPr>
                <w:bCs/>
                <w:szCs w:val="24"/>
              </w:rPr>
              <w:t>administrative hearings</w:t>
            </w:r>
          </w:p>
        </w:tc>
      </w:tr>
      <w:bookmarkEnd w:id="0"/>
      <w:bookmarkEnd w:id="1"/>
    </w:tbl>
    <w:p w14:paraId="5D049D03" w14:textId="77777777" w:rsidR="00AD100B" w:rsidRPr="00EA05D4" w:rsidRDefault="00AD100B" w:rsidP="00AD100B">
      <w:pPr>
        <w:jc w:val="center"/>
        <w:rPr>
          <w:b/>
          <w:szCs w:val="24"/>
        </w:rPr>
      </w:pPr>
    </w:p>
    <w:p w14:paraId="150851F6" w14:textId="77777777" w:rsidR="002A16BD" w:rsidRDefault="002A16BD" w:rsidP="002A16BD">
      <w:pPr>
        <w:pStyle w:val="Docketnumber"/>
        <w:rPr>
          <w:sz w:val="24"/>
        </w:rPr>
      </w:pPr>
      <w:r>
        <w:rPr>
          <w:sz w:val="24"/>
        </w:rPr>
        <w:t>Commission Staff’s exceptions to the proposal for decision</w:t>
      </w:r>
    </w:p>
    <w:p w14:paraId="7B3D03FC" w14:textId="77777777" w:rsidR="003744AE" w:rsidRPr="00EA05D4" w:rsidRDefault="003744AE" w:rsidP="00715232">
      <w:pPr>
        <w:pStyle w:val="Documentheading"/>
        <w:rPr>
          <w:sz w:val="24"/>
          <w:szCs w:val="24"/>
        </w:rPr>
      </w:pPr>
    </w:p>
    <w:p w14:paraId="6ECECE89" w14:textId="630EC371" w:rsidR="00F70314" w:rsidRPr="00EA05D4" w:rsidRDefault="00F70314" w:rsidP="00F70314">
      <w:pPr>
        <w:keepNext/>
        <w:rPr>
          <w:szCs w:val="24"/>
        </w:rPr>
      </w:pPr>
      <w:r w:rsidRPr="00EA05D4">
        <w:rPr>
          <w:szCs w:val="24"/>
        </w:rPr>
        <w:t xml:space="preserve">Dated: </w:t>
      </w:r>
      <w:r w:rsidRPr="00EA05D4">
        <w:rPr>
          <w:szCs w:val="24"/>
        </w:rPr>
        <w:fldChar w:fldCharType="begin"/>
      </w:r>
      <w:r w:rsidRPr="00EA05D4">
        <w:rPr>
          <w:szCs w:val="24"/>
        </w:rPr>
        <w:instrText xml:space="preserve"> DATE \@ "MMMM d, yyyy" </w:instrText>
      </w:r>
      <w:r w:rsidRPr="00EA05D4">
        <w:rPr>
          <w:szCs w:val="24"/>
        </w:rPr>
        <w:fldChar w:fldCharType="separate"/>
      </w:r>
      <w:r w:rsidR="00507691">
        <w:rPr>
          <w:noProof/>
          <w:szCs w:val="24"/>
        </w:rPr>
        <w:t>August 3, 2023</w:t>
      </w:r>
      <w:r w:rsidRPr="00EA05D4">
        <w:rPr>
          <w:szCs w:val="24"/>
        </w:rPr>
        <w:fldChar w:fldCharType="end"/>
      </w:r>
    </w:p>
    <w:p w14:paraId="0ED63E81" w14:textId="77777777" w:rsidR="00F70314" w:rsidRPr="00EA05D4" w:rsidRDefault="00F70314" w:rsidP="00F70314">
      <w:pPr>
        <w:keepNext/>
        <w:rPr>
          <w:szCs w:val="24"/>
        </w:rPr>
      </w:pPr>
    </w:p>
    <w:p w14:paraId="4C28A185" w14:textId="77777777" w:rsidR="00F70314" w:rsidRPr="00EA05D4" w:rsidRDefault="00F70314" w:rsidP="00F70314">
      <w:pPr>
        <w:pStyle w:val="Normaldouble"/>
        <w:keepNext/>
        <w:spacing w:line="240" w:lineRule="auto"/>
        <w:ind w:left="3600" w:firstLine="720"/>
        <w:rPr>
          <w:szCs w:val="24"/>
        </w:rPr>
      </w:pPr>
      <w:r w:rsidRPr="00EA05D4">
        <w:rPr>
          <w:szCs w:val="24"/>
        </w:rPr>
        <w:t>Respectfully submitted,</w:t>
      </w:r>
    </w:p>
    <w:p w14:paraId="4DC9502B" w14:textId="77777777" w:rsidR="00F70314" w:rsidRPr="00EA05D4" w:rsidRDefault="00F70314" w:rsidP="00F70314">
      <w:pPr>
        <w:pStyle w:val="Normaldouble"/>
        <w:keepNext/>
        <w:spacing w:line="240" w:lineRule="auto"/>
        <w:ind w:left="3600" w:firstLine="720"/>
        <w:rPr>
          <w:szCs w:val="24"/>
        </w:rPr>
      </w:pPr>
    </w:p>
    <w:p w14:paraId="3F156E31" w14:textId="77777777" w:rsidR="00F70314" w:rsidRPr="00EA05D4" w:rsidRDefault="00F70314" w:rsidP="00F70314">
      <w:pPr>
        <w:pStyle w:val="Normaldouble"/>
        <w:keepNext/>
        <w:spacing w:line="240" w:lineRule="auto"/>
        <w:ind w:left="3600" w:firstLine="720"/>
        <w:rPr>
          <w:b/>
          <w:szCs w:val="24"/>
        </w:rPr>
      </w:pPr>
      <w:r w:rsidRPr="00EA05D4">
        <w:rPr>
          <w:b/>
          <w:szCs w:val="24"/>
        </w:rPr>
        <w:t>PUBLIC UTILITY COMMISSION OF TEXAS</w:t>
      </w:r>
    </w:p>
    <w:p w14:paraId="34312F35" w14:textId="77777777" w:rsidR="00F70314" w:rsidRPr="00EA05D4" w:rsidRDefault="00F70314" w:rsidP="00F70314">
      <w:pPr>
        <w:pStyle w:val="Normaldouble"/>
        <w:keepNext/>
        <w:spacing w:line="240" w:lineRule="auto"/>
        <w:ind w:left="3600" w:firstLine="720"/>
        <w:rPr>
          <w:b/>
          <w:szCs w:val="24"/>
        </w:rPr>
      </w:pPr>
      <w:r w:rsidRPr="00EA05D4">
        <w:rPr>
          <w:b/>
          <w:szCs w:val="24"/>
        </w:rPr>
        <w:t>LEGAL DIVISION</w:t>
      </w:r>
    </w:p>
    <w:p w14:paraId="5DECE330" w14:textId="77777777" w:rsidR="00F70314" w:rsidRPr="00EA05D4" w:rsidRDefault="00F70314" w:rsidP="00F70314">
      <w:pPr>
        <w:pStyle w:val="Normaldouble"/>
        <w:keepNext/>
        <w:spacing w:line="240" w:lineRule="auto"/>
        <w:ind w:left="3600" w:firstLine="720"/>
        <w:rPr>
          <w:b/>
          <w:szCs w:val="24"/>
        </w:rPr>
      </w:pPr>
    </w:p>
    <w:p w14:paraId="63D48798" w14:textId="77777777" w:rsidR="00F70314" w:rsidRPr="00EA05D4" w:rsidRDefault="00A32560" w:rsidP="00F70314">
      <w:pPr>
        <w:keepNext/>
        <w:overflowPunct w:val="0"/>
        <w:autoSpaceDE w:val="0"/>
        <w:autoSpaceDN w:val="0"/>
        <w:adjustRightInd w:val="0"/>
        <w:ind w:left="4320"/>
        <w:jc w:val="left"/>
        <w:textAlignment w:val="baseline"/>
        <w:rPr>
          <w:szCs w:val="24"/>
        </w:rPr>
      </w:pPr>
      <w:r>
        <w:rPr>
          <w:szCs w:val="24"/>
        </w:rPr>
        <w:t>Marisa Wagley</w:t>
      </w:r>
    </w:p>
    <w:p w14:paraId="6B62C648" w14:textId="77777777" w:rsidR="00A32560" w:rsidRDefault="00F70314" w:rsidP="00F70314">
      <w:pPr>
        <w:keepNext/>
        <w:ind w:firstLine="4320"/>
        <w:jc w:val="left"/>
        <w:rPr>
          <w:szCs w:val="24"/>
        </w:rPr>
      </w:pPr>
      <w:r w:rsidRPr="00EA05D4">
        <w:rPr>
          <w:szCs w:val="24"/>
        </w:rPr>
        <w:t>Division Director</w:t>
      </w:r>
    </w:p>
    <w:p w14:paraId="475D9FDB" w14:textId="77777777" w:rsidR="00A32560" w:rsidRDefault="00A32560" w:rsidP="00F70314">
      <w:pPr>
        <w:keepNext/>
        <w:ind w:firstLine="4320"/>
        <w:jc w:val="left"/>
        <w:rPr>
          <w:szCs w:val="24"/>
        </w:rPr>
      </w:pPr>
    </w:p>
    <w:p w14:paraId="6DCA7D61" w14:textId="77777777" w:rsidR="00A32560" w:rsidRDefault="00A32560" w:rsidP="00F70314">
      <w:pPr>
        <w:keepNext/>
        <w:ind w:firstLine="4320"/>
        <w:jc w:val="left"/>
        <w:rPr>
          <w:szCs w:val="24"/>
        </w:rPr>
      </w:pPr>
      <w:r>
        <w:rPr>
          <w:szCs w:val="24"/>
        </w:rPr>
        <w:t>Sneha Patel</w:t>
      </w:r>
    </w:p>
    <w:p w14:paraId="0C38F6DD" w14:textId="77777777" w:rsidR="00F70314" w:rsidRPr="00EA05D4" w:rsidRDefault="00A32560" w:rsidP="00F70314">
      <w:pPr>
        <w:keepNext/>
        <w:ind w:firstLine="4320"/>
        <w:jc w:val="left"/>
        <w:rPr>
          <w:szCs w:val="24"/>
        </w:rPr>
      </w:pPr>
      <w:r>
        <w:rPr>
          <w:szCs w:val="24"/>
        </w:rPr>
        <w:t>Managing Attorney</w:t>
      </w:r>
      <w:r w:rsidR="00F70314" w:rsidRPr="00EA05D4">
        <w:rPr>
          <w:szCs w:val="24"/>
        </w:rPr>
        <w:t xml:space="preserve"> </w:t>
      </w:r>
    </w:p>
    <w:p w14:paraId="0063433F" w14:textId="77777777" w:rsidR="00F70314" w:rsidRPr="00EA05D4" w:rsidRDefault="00F70314" w:rsidP="00F70314">
      <w:pPr>
        <w:keepNext/>
        <w:overflowPunct w:val="0"/>
        <w:autoSpaceDE w:val="0"/>
        <w:autoSpaceDN w:val="0"/>
        <w:adjustRightInd w:val="0"/>
        <w:ind w:left="4320"/>
        <w:jc w:val="left"/>
        <w:textAlignment w:val="baseline"/>
        <w:rPr>
          <w:szCs w:val="24"/>
        </w:rPr>
      </w:pPr>
    </w:p>
    <w:p w14:paraId="7B177BE2"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u w:val="single"/>
        </w:rPr>
        <w:t>/s/ Merritt Lander</w:t>
      </w:r>
      <w:r w:rsidRPr="00EA05D4">
        <w:rPr>
          <w:szCs w:val="24"/>
        </w:rPr>
        <w:t>____________</w:t>
      </w:r>
    </w:p>
    <w:p w14:paraId="4EF88F8D"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Merritt Lander</w:t>
      </w:r>
    </w:p>
    <w:p w14:paraId="30A80597"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State Bar No. 24106183</w:t>
      </w:r>
    </w:p>
    <w:p w14:paraId="38EB44E0"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1701 N. Congress Avenue</w:t>
      </w:r>
    </w:p>
    <w:p w14:paraId="34BE291B"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P.O. Box 13326</w:t>
      </w:r>
    </w:p>
    <w:p w14:paraId="7E3BC194"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Austin, Texas 78711-3326</w:t>
      </w:r>
    </w:p>
    <w:p w14:paraId="557E43A0"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(512) 936-7290</w:t>
      </w:r>
    </w:p>
    <w:p w14:paraId="67F52A83"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(512) 936-7268 (facsimile)</w:t>
      </w:r>
    </w:p>
    <w:p w14:paraId="436CD82E" w14:textId="5E74DF69" w:rsidR="009C6658" w:rsidRPr="00EA05D4" w:rsidRDefault="00F70314" w:rsidP="00F70314">
      <w:pPr>
        <w:keepNext/>
        <w:overflowPunct w:val="0"/>
        <w:autoSpaceDE w:val="0"/>
        <w:autoSpaceDN w:val="0"/>
        <w:adjustRightInd w:val="0"/>
        <w:ind w:left="4320"/>
        <w:jc w:val="left"/>
        <w:textAlignment w:val="baseline"/>
        <w:rPr>
          <w:szCs w:val="24"/>
        </w:rPr>
        <w:sectPr w:rsidR="009C6658" w:rsidRPr="00EA05D4" w:rsidSect="002A3FBA">
          <w:headerReference w:type="default" r:id="rId8"/>
          <w:footerReference w:type="even" r:id="rId9"/>
          <w:pgSz w:w="12240" w:h="15840"/>
          <w:pgMar w:top="1440" w:right="1440" w:bottom="1440" w:left="1440" w:header="720" w:footer="720" w:gutter="0"/>
          <w:cols w:space="720"/>
          <w:titlePg/>
          <w:docGrid w:linePitch="326"/>
        </w:sectPr>
      </w:pPr>
      <w:r w:rsidRPr="00EA05D4">
        <w:rPr>
          <w:szCs w:val="24"/>
        </w:rPr>
        <w:t>Merritt.Lander@puc.texas.gov</w:t>
      </w:r>
    </w:p>
    <w:p w14:paraId="41AE2877" w14:textId="77777777" w:rsidR="002A16BD" w:rsidRPr="00EA05D4" w:rsidRDefault="002A16BD" w:rsidP="002A16BD">
      <w:pPr>
        <w:pStyle w:val="Docketnumber"/>
        <w:rPr>
          <w:sz w:val="24"/>
          <w:szCs w:val="24"/>
        </w:rPr>
      </w:pPr>
      <w:r w:rsidRPr="00EA05D4">
        <w:rPr>
          <w:sz w:val="24"/>
          <w:szCs w:val="24"/>
        </w:rPr>
        <w:lastRenderedPageBreak/>
        <w:t>PUC DOCKET NO. 50788</w:t>
      </w:r>
    </w:p>
    <w:p w14:paraId="51532935" w14:textId="77777777" w:rsidR="002A16BD" w:rsidRPr="00EA05D4" w:rsidRDefault="002A16BD" w:rsidP="002A16BD">
      <w:pPr>
        <w:pStyle w:val="Docketnumber"/>
        <w:rPr>
          <w:sz w:val="24"/>
          <w:szCs w:val="24"/>
        </w:rPr>
      </w:pPr>
      <w:r w:rsidRPr="00EA05D4">
        <w:rPr>
          <w:sz w:val="24"/>
          <w:szCs w:val="24"/>
        </w:rPr>
        <w:t>SOAH DOCKET NO. 473-20-4071.ws</w:t>
      </w:r>
    </w:p>
    <w:p w14:paraId="7E60B722" w14:textId="77777777" w:rsidR="002A16BD" w:rsidRPr="00EA05D4" w:rsidRDefault="002A16BD" w:rsidP="002A16BD">
      <w:pPr>
        <w:jc w:val="center"/>
        <w:rPr>
          <w:b/>
          <w:szCs w:val="24"/>
        </w:rPr>
      </w:pPr>
    </w:p>
    <w:tbl>
      <w:tblPr>
        <w:tblW w:w="9360" w:type="dxa"/>
        <w:jc w:val="center"/>
        <w:tblLook w:val="01E0" w:firstRow="1" w:lastRow="1" w:firstColumn="1" w:lastColumn="1" w:noHBand="0" w:noVBand="0"/>
      </w:tblPr>
      <w:tblGrid>
        <w:gridCol w:w="4320"/>
        <w:gridCol w:w="720"/>
        <w:gridCol w:w="4320"/>
      </w:tblGrid>
      <w:tr w:rsidR="002A16BD" w:rsidRPr="00EA05D4" w14:paraId="0DA03F87" w14:textId="77777777" w:rsidTr="00044CBD">
        <w:trPr>
          <w:trHeight w:val="1431"/>
          <w:jc w:val="center"/>
        </w:trPr>
        <w:tc>
          <w:tcPr>
            <w:tcW w:w="4320" w:type="dxa"/>
          </w:tcPr>
          <w:p w14:paraId="5F5E8E3B" w14:textId="77777777" w:rsidR="002A16BD" w:rsidRPr="00EA05D4" w:rsidRDefault="002A16BD" w:rsidP="00044CBD">
            <w:pPr>
              <w:jc w:val="left"/>
              <w:rPr>
                <w:b/>
                <w:caps/>
                <w:szCs w:val="24"/>
              </w:rPr>
            </w:pPr>
            <w:r w:rsidRPr="00EA05D4">
              <w:rPr>
                <w:b/>
                <w:caps/>
                <w:szCs w:val="24"/>
              </w:rPr>
              <w:t>RATEPAYERS APPEAL OF THE DECISION BY WINDERMERE OAKS WATER SUPPLY CORPORATION TO CHANGE WATER AND SEWER RATES</w:t>
            </w:r>
          </w:p>
        </w:tc>
        <w:tc>
          <w:tcPr>
            <w:tcW w:w="720" w:type="dxa"/>
          </w:tcPr>
          <w:p w14:paraId="49836971" w14:textId="77777777" w:rsidR="002A16BD" w:rsidRPr="00EA05D4" w:rsidRDefault="002A16BD" w:rsidP="00044CBD">
            <w:pPr>
              <w:ind w:right="-195"/>
              <w:jc w:val="center"/>
              <w:rPr>
                <w:b/>
                <w:szCs w:val="24"/>
              </w:rPr>
            </w:pPr>
            <w:r w:rsidRPr="00EA05D4">
              <w:rPr>
                <w:b/>
                <w:szCs w:val="24"/>
              </w:rPr>
              <w:t>§</w:t>
            </w:r>
          </w:p>
          <w:p w14:paraId="5170DF21" w14:textId="77777777" w:rsidR="002A16BD" w:rsidRPr="00EA05D4" w:rsidRDefault="002A16BD" w:rsidP="00044CBD">
            <w:pPr>
              <w:tabs>
                <w:tab w:val="left" w:pos="0"/>
              </w:tabs>
              <w:ind w:right="-195"/>
              <w:jc w:val="center"/>
              <w:rPr>
                <w:b/>
                <w:szCs w:val="24"/>
              </w:rPr>
            </w:pPr>
            <w:r w:rsidRPr="00EA05D4">
              <w:rPr>
                <w:b/>
                <w:szCs w:val="24"/>
              </w:rPr>
              <w:t>§</w:t>
            </w:r>
          </w:p>
          <w:p w14:paraId="722CCEF9" w14:textId="77777777" w:rsidR="002A16BD" w:rsidRPr="00EA05D4" w:rsidRDefault="002A16BD" w:rsidP="00044CBD">
            <w:pPr>
              <w:tabs>
                <w:tab w:val="left" w:pos="0"/>
                <w:tab w:val="left" w:pos="150"/>
              </w:tabs>
              <w:ind w:right="-195"/>
              <w:jc w:val="center"/>
              <w:rPr>
                <w:b/>
                <w:szCs w:val="24"/>
              </w:rPr>
            </w:pPr>
            <w:r w:rsidRPr="00EA05D4">
              <w:rPr>
                <w:b/>
                <w:szCs w:val="24"/>
              </w:rPr>
              <w:t>§</w:t>
            </w:r>
          </w:p>
          <w:p w14:paraId="3C0D2C6E" w14:textId="77777777" w:rsidR="002A16BD" w:rsidRPr="00EA05D4" w:rsidRDefault="002A16BD" w:rsidP="00044CBD">
            <w:pPr>
              <w:tabs>
                <w:tab w:val="left" w:pos="0"/>
                <w:tab w:val="left" w:pos="150"/>
              </w:tabs>
              <w:ind w:right="-195"/>
              <w:jc w:val="center"/>
              <w:rPr>
                <w:b/>
                <w:szCs w:val="24"/>
              </w:rPr>
            </w:pPr>
            <w:r w:rsidRPr="00EA05D4">
              <w:rPr>
                <w:b/>
                <w:szCs w:val="24"/>
              </w:rPr>
              <w:t>§</w:t>
            </w:r>
          </w:p>
          <w:p w14:paraId="606E491B" w14:textId="77777777" w:rsidR="002A16BD" w:rsidRPr="00EA05D4" w:rsidRDefault="002A16BD" w:rsidP="00044CBD">
            <w:pPr>
              <w:tabs>
                <w:tab w:val="left" w:pos="0"/>
                <w:tab w:val="left" w:pos="150"/>
              </w:tabs>
              <w:ind w:right="-195"/>
              <w:jc w:val="center"/>
              <w:rPr>
                <w:b/>
                <w:szCs w:val="24"/>
              </w:rPr>
            </w:pPr>
            <w:r w:rsidRPr="00EA05D4">
              <w:rPr>
                <w:b/>
                <w:szCs w:val="24"/>
              </w:rPr>
              <w:t>§</w:t>
            </w:r>
          </w:p>
        </w:tc>
        <w:tc>
          <w:tcPr>
            <w:tcW w:w="4320" w:type="dxa"/>
          </w:tcPr>
          <w:p w14:paraId="01F78627" w14:textId="77777777" w:rsidR="002A16BD" w:rsidRPr="00EA05D4" w:rsidRDefault="002A16BD" w:rsidP="00044CBD">
            <w:pPr>
              <w:pStyle w:val="Docketstyle"/>
              <w:spacing w:line="240" w:lineRule="auto"/>
              <w:jc w:val="center"/>
              <w:rPr>
                <w:bCs/>
                <w:szCs w:val="24"/>
              </w:rPr>
            </w:pPr>
            <w:r w:rsidRPr="00EA05D4">
              <w:rPr>
                <w:bCs/>
                <w:szCs w:val="24"/>
              </w:rPr>
              <w:t xml:space="preserve">Before the state office </w:t>
            </w:r>
          </w:p>
          <w:p w14:paraId="0FE22484" w14:textId="77777777" w:rsidR="002A16BD" w:rsidRPr="00EA05D4" w:rsidRDefault="002A16BD" w:rsidP="00044CBD">
            <w:pPr>
              <w:pStyle w:val="Docketstyle"/>
              <w:spacing w:line="240" w:lineRule="auto"/>
              <w:jc w:val="center"/>
              <w:rPr>
                <w:bCs/>
                <w:szCs w:val="24"/>
              </w:rPr>
            </w:pPr>
          </w:p>
          <w:p w14:paraId="719FA515" w14:textId="77777777" w:rsidR="002A16BD" w:rsidRPr="00EA05D4" w:rsidRDefault="002A16BD" w:rsidP="00044CBD">
            <w:pPr>
              <w:pStyle w:val="Docketstyle"/>
              <w:spacing w:line="240" w:lineRule="auto"/>
              <w:jc w:val="center"/>
              <w:rPr>
                <w:bCs/>
                <w:szCs w:val="24"/>
              </w:rPr>
            </w:pPr>
            <w:r w:rsidRPr="00EA05D4">
              <w:rPr>
                <w:bCs/>
                <w:szCs w:val="24"/>
              </w:rPr>
              <w:t>of</w:t>
            </w:r>
          </w:p>
          <w:p w14:paraId="148D1243" w14:textId="77777777" w:rsidR="002A16BD" w:rsidRPr="00EA05D4" w:rsidRDefault="002A16BD" w:rsidP="00044CBD">
            <w:pPr>
              <w:pStyle w:val="Docketstyle"/>
              <w:spacing w:line="240" w:lineRule="auto"/>
              <w:jc w:val="center"/>
              <w:rPr>
                <w:bCs/>
                <w:szCs w:val="24"/>
              </w:rPr>
            </w:pPr>
          </w:p>
          <w:p w14:paraId="03026318" w14:textId="77777777" w:rsidR="002A16BD" w:rsidRPr="00EA05D4" w:rsidRDefault="002A16BD" w:rsidP="00044CBD">
            <w:pPr>
              <w:pStyle w:val="Docketstyle"/>
              <w:spacing w:line="240" w:lineRule="auto"/>
              <w:jc w:val="center"/>
              <w:rPr>
                <w:bCs/>
                <w:szCs w:val="24"/>
              </w:rPr>
            </w:pPr>
            <w:r w:rsidRPr="00EA05D4">
              <w:rPr>
                <w:bCs/>
                <w:szCs w:val="24"/>
              </w:rPr>
              <w:t>administrative hearings</w:t>
            </w:r>
          </w:p>
        </w:tc>
      </w:tr>
    </w:tbl>
    <w:p w14:paraId="57B1CD2D" w14:textId="77777777" w:rsidR="00FB7AC6" w:rsidRDefault="002A16BD" w:rsidP="008A174B">
      <w:pPr>
        <w:pStyle w:val="TOCHeading"/>
        <w:jc w:val="center"/>
        <w:rPr>
          <w:rFonts w:ascii="Times New Roman" w:hAnsi="Times New Roman"/>
          <w:b/>
          <w:bCs/>
          <w:color w:val="auto"/>
          <w:sz w:val="24"/>
          <w:szCs w:val="24"/>
        </w:rPr>
      </w:pPr>
      <w:r>
        <w:rPr>
          <w:rFonts w:ascii="Times New Roman" w:hAnsi="Times New Roman"/>
          <w:b/>
          <w:bCs/>
          <w:color w:val="auto"/>
          <w:sz w:val="24"/>
          <w:szCs w:val="24"/>
        </w:rPr>
        <w:t xml:space="preserve">TABLE OF </w:t>
      </w:r>
      <w:r w:rsidR="008A174B" w:rsidRPr="00EA05D4">
        <w:rPr>
          <w:rFonts w:ascii="Times New Roman" w:hAnsi="Times New Roman"/>
          <w:b/>
          <w:bCs/>
          <w:color w:val="auto"/>
          <w:sz w:val="24"/>
          <w:szCs w:val="24"/>
        </w:rPr>
        <w:t>CONTENTS</w:t>
      </w:r>
    </w:p>
    <w:p w14:paraId="5B190B7E" w14:textId="77777777" w:rsidR="00CB01BC" w:rsidRPr="00CB01BC" w:rsidRDefault="00CB01BC" w:rsidP="00CB01BC"/>
    <w:p w14:paraId="6ADAB9F0" w14:textId="6469C3A3" w:rsidR="002A16BD" w:rsidRPr="00E11327" w:rsidRDefault="008A174B" w:rsidP="00CB01BC">
      <w:pPr>
        <w:pStyle w:val="TOC2"/>
        <w:tabs>
          <w:tab w:val="left" w:pos="360"/>
          <w:tab w:val="right" w:leader="dot" w:pos="9350"/>
        </w:tabs>
        <w:spacing w:before="0" w:line="360" w:lineRule="auto"/>
        <w:rPr>
          <w:rFonts w:ascii="Calibri" w:hAnsi="Calibri"/>
          <w:b w:val="0"/>
          <w:bCs w:val="0"/>
          <w:noProof/>
          <w:sz w:val="22"/>
          <w:szCs w:val="22"/>
        </w:rPr>
      </w:pPr>
      <w:r w:rsidRPr="00EA05D4">
        <w:rPr>
          <w:b w:val="0"/>
          <w:bCs w:val="0"/>
          <w:szCs w:val="24"/>
        </w:rPr>
        <w:fldChar w:fldCharType="begin"/>
      </w:r>
      <w:r w:rsidRPr="00EA05D4">
        <w:rPr>
          <w:b w:val="0"/>
          <w:bCs w:val="0"/>
          <w:szCs w:val="24"/>
        </w:rPr>
        <w:instrText xml:space="preserve"> TOC \o "1-3" \h \z \u </w:instrText>
      </w:r>
      <w:r w:rsidRPr="00EA05D4">
        <w:rPr>
          <w:b w:val="0"/>
          <w:bCs w:val="0"/>
          <w:szCs w:val="24"/>
        </w:rPr>
        <w:fldChar w:fldCharType="separate"/>
      </w:r>
      <w:hyperlink w:anchor="_Toc140498300" w:history="1">
        <w:r w:rsidR="002A16BD" w:rsidRPr="004626E5">
          <w:rPr>
            <w:rStyle w:val="Hyperlink"/>
            <w:noProof/>
          </w:rPr>
          <w:t>I.</w:t>
        </w:r>
        <w:r w:rsidR="002A16BD" w:rsidRPr="00E11327">
          <w:rPr>
            <w:rFonts w:ascii="Calibri" w:hAnsi="Calibri"/>
            <w:b w:val="0"/>
            <w:bCs w:val="0"/>
            <w:noProof/>
            <w:sz w:val="22"/>
            <w:szCs w:val="22"/>
          </w:rPr>
          <w:tab/>
        </w:r>
        <w:r w:rsidR="002A16BD" w:rsidRPr="004626E5">
          <w:rPr>
            <w:rStyle w:val="Hyperlink"/>
            <w:noProof/>
          </w:rPr>
          <w:t>JURISDICTION, NOTICE, AND PROCEDURAL HISTORY</w:t>
        </w:r>
        <w:r w:rsidR="002A16BD">
          <w:rPr>
            <w:noProof/>
            <w:webHidden/>
          </w:rPr>
          <w:tab/>
        </w:r>
        <w:r w:rsidR="002A16BD">
          <w:rPr>
            <w:noProof/>
            <w:webHidden/>
          </w:rPr>
          <w:fldChar w:fldCharType="begin"/>
        </w:r>
        <w:r w:rsidR="002A16BD">
          <w:rPr>
            <w:noProof/>
            <w:webHidden/>
          </w:rPr>
          <w:instrText xml:space="preserve"> PAGEREF _Toc140498300 \h </w:instrText>
        </w:r>
        <w:r w:rsidR="002A16BD">
          <w:rPr>
            <w:noProof/>
            <w:webHidden/>
          </w:rPr>
        </w:r>
        <w:r w:rsidR="002A16BD">
          <w:rPr>
            <w:noProof/>
            <w:webHidden/>
          </w:rPr>
          <w:fldChar w:fldCharType="separate"/>
        </w:r>
        <w:r w:rsidR="0065465C">
          <w:rPr>
            <w:noProof/>
            <w:webHidden/>
          </w:rPr>
          <w:t>1</w:t>
        </w:r>
        <w:r w:rsidR="002A16BD">
          <w:rPr>
            <w:noProof/>
            <w:webHidden/>
          </w:rPr>
          <w:fldChar w:fldCharType="end"/>
        </w:r>
      </w:hyperlink>
    </w:p>
    <w:p w14:paraId="641C0BDE" w14:textId="6CE7C56E" w:rsidR="002A16BD" w:rsidRPr="00E11327" w:rsidRDefault="00507691" w:rsidP="00CB01BC">
      <w:pPr>
        <w:pStyle w:val="TOC2"/>
        <w:tabs>
          <w:tab w:val="left" w:pos="360"/>
          <w:tab w:val="right" w:leader="dot" w:pos="9350"/>
        </w:tabs>
        <w:spacing w:before="0" w:line="360" w:lineRule="auto"/>
        <w:rPr>
          <w:rFonts w:ascii="Calibri" w:hAnsi="Calibri"/>
          <w:b w:val="0"/>
          <w:bCs w:val="0"/>
          <w:noProof/>
          <w:sz w:val="22"/>
          <w:szCs w:val="22"/>
        </w:rPr>
      </w:pPr>
      <w:hyperlink w:anchor="_Toc140498301" w:history="1">
        <w:r w:rsidR="002A16BD" w:rsidRPr="004626E5">
          <w:rPr>
            <w:rStyle w:val="Hyperlink"/>
            <w:noProof/>
          </w:rPr>
          <w:t>II.</w:t>
        </w:r>
        <w:r w:rsidR="002A16BD" w:rsidRPr="00E11327">
          <w:rPr>
            <w:rFonts w:ascii="Calibri" w:hAnsi="Calibri"/>
            <w:b w:val="0"/>
            <w:bCs w:val="0"/>
            <w:noProof/>
            <w:sz w:val="22"/>
            <w:szCs w:val="22"/>
          </w:rPr>
          <w:tab/>
        </w:r>
        <w:r w:rsidR="002A16BD" w:rsidRPr="004626E5">
          <w:rPr>
            <w:rStyle w:val="Hyperlink"/>
            <w:noProof/>
          </w:rPr>
          <w:t>SCOPE OF REVIEW</w:t>
        </w:r>
        <w:r w:rsidR="002A16BD">
          <w:rPr>
            <w:noProof/>
            <w:webHidden/>
          </w:rPr>
          <w:tab/>
        </w:r>
        <w:r w:rsidR="002A16BD">
          <w:rPr>
            <w:noProof/>
            <w:webHidden/>
          </w:rPr>
          <w:fldChar w:fldCharType="begin"/>
        </w:r>
        <w:r w:rsidR="002A16BD">
          <w:rPr>
            <w:noProof/>
            <w:webHidden/>
          </w:rPr>
          <w:instrText xml:space="preserve"> PAGEREF _Toc140498301 \h </w:instrText>
        </w:r>
        <w:r w:rsidR="002A16BD">
          <w:rPr>
            <w:noProof/>
            <w:webHidden/>
          </w:rPr>
        </w:r>
        <w:r w:rsidR="002A16BD">
          <w:rPr>
            <w:noProof/>
            <w:webHidden/>
          </w:rPr>
          <w:fldChar w:fldCharType="separate"/>
        </w:r>
        <w:r w:rsidR="0065465C">
          <w:rPr>
            <w:noProof/>
            <w:webHidden/>
          </w:rPr>
          <w:t>1</w:t>
        </w:r>
        <w:r w:rsidR="002A16BD">
          <w:rPr>
            <w:noProof/>
            <w:webHidden/>
          </w:rPr>
          <w:fldChar w:fldCharType="end"/>
        </w:r>
      </w:hyperlink>
    </w:p>
    <w:p w14:paraId="23004234" w14:textId="6E9EB5CC" w:rsidR="002A16BD" w:rsidRPr="00E11327" w:rsidRDefault="00507691" w:rsidP="00CB01BC">
      <w:pPr>
        <w:pStyle w:val="TOC2"/>
        <w:tabs>
          <w:tab w:val="left" w:pos="360"/>
          <w:tab w:val="right" w:leader="dot" w:pos="9350"/>
        </w:tabs>
        <w:spacing w:before="0" w:line="360" w:lineRule="auto"/>
        <w:rPr>
          <w:rFonts w:ascii="Calibri" w:hAnsi="Calibri"/>
          <w:b w:val="0"/>
          <w:bCs w:val="0"/>
          <w:noProof/>
          <w:sz w:val="22"/>
          <w:szCs w:val="22"/>
        </w:rPr>
      </w:pPr>
      <w:hyperlink w:anchor="_Toc140498302" w:history="1">
        <w:r w:rsidR="002A16BD" w:rsidRPr="004626E5">
          <w:rPr>
            <w:rStyle w:val="Hyperlink"/>
            <w:noProof/>
          </w:rPr>
          <w:t>III.</w:t>
        </w:r>
        <w:r w:rsidR="002A16BD" w:rsidRPr="00E11327">
          <w:rPr>
            <w:rFonts w:ascii="Calibri" w:hAnsi="Calibri"/>
            <w:b w:val="0"/>
            <w:bCs w:val="0"/>
            <w:noProof/>
            <w:sz w:val="22"/>
            <w:szCs w:val="22"/>
          </w:rPr>
          <w:tab/>
        </w:r>
        <w:r w:rsidR="002A16BD" w:rsidRPr="004626E5">
          <w:rPr>
            <w:rStyle w:val="Hyperlink"/>
            <w:noProof/>
          </w:rPr>
          <w:t>DISCUSSION</w:t>
        </w:r>
        <w:r w:rsidR="002A16BD">
          <w:rPr>
            <w:noProof/>
            <w:webHidden/>
          </w:rPr>
          <w:tab/>
        </w:r>
        <w:r w:rsidR="002A16BD">
          <w:rPr>
            <w:noProof/>
            <w:webHidden/>
          </w:rPr>
          <w:fldChar w:fldCharType="begin"/>
        </w:r>
        <w:r w:rsidR="002A16BD">
          <w:rPr>
            <w:noProof/>
            <w:webHidden/>
          </w:rPr>
          <w:instrText xml:space="preserve"> PAGEREF _Toc140498302 \h </w:instrText>
        </w:r>
        <w:r w:rsidR="002A16BD">
          <w:rPr>
            <w:noProof/>
            <w:webHidden/>
          </w:rPr>
        </w:r>
        <w:r w:rsidR="002A16BD">
          <w:rPr>
            <w:noProof/>
            <w:webHidden/>
          </w:rPr>
          <w:fldChar w:fldCharType="separate"/>
        </w:r>
        <w:r w:rsidR="0065465C">
          <w:rPr>
            <w:noProof/>
            <w:webHidden/>
          </w:rPr>
          <w:t>1</w:t>
        </w:r>
        <w:r w:rsidR="002A16BD">
          <w:rPr>
            <w:noProof/>
            <w:webHidden/>
          </w:rPr>
          <w:fldChar w:fldCharType="end"/>
        </w:r>
      </w:hyperlink>
    </w:p>
    <w:p w14:paraId="5BF896B6" w14:textId="02269DA1" w:rsidR="002A16BD" w:rsidRPr="00E11327" w:rsidRDefault="00507691" w:rsidP="00432B8A">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03" w:history="1">
        <w:r w:rsidR="002A16BD" w:rsidRPr="004626E5">
          <w:rPr>
            <w:rStyle w:val="Hyperlink"/>
            <w:noProof/>
          </w:rPr>
          <w:t>A.</w:t>
        </w:r>
        <w:r w:rsidR="002A16BD" w:rsidRPr="00E11327">
          <w:rPr>
            <w:rFonts w:ascii="Calibri" w:hAnsi="Calibri"/>
            <w:b w:val="0"/>
            <w:bCs w:val="0"/>
            <w:noProof/>
            <w:sz w:val="22"/>
            <w:szCs w:val="22"/>
          </w:rPr>
          <w:tab/>
        </w:r>
        <w:r w:rsidR="002A16BD" w:rsidRPr="004626E5">
          <w:rPr>
            <w:rStyle w:val="Hyperlink"/>
            <w:noProof/>
          </w:rPr>
          <w:t>Background</w:t>
        </w:r>
        <w:r w:rsidR="002A16BD">
          <w:rPr>
            <w:noProof/>
            <w:webHidden/>
          </w:rPr>
          <w:tab/>
        </w:r>
        <w:r w:rsidR="002A16BD">
          <w:rPr>
            <w:noProof/>
            <w:webHidden/>
          </w:rPr>
          <w:fldChar w:fldCharType="begin"/>
        </w:r>
        <w:r w:rsidR="002A16BD">
          <w:rPr>
            <w:noProof/>
            <w:webHidden/>
          </w:rPr>
          <w:instrText xml:space="preserve"> PAGEREF _Toc140498303 \h </w:instrText>
        </w:r>
        <w:r w:rsidR="002A16BD">
          <w:rPr>
            <w:noProof/>
            <w:webHidden/>
          </w:rPr>
        </w:r>
        <w:r w:rsidR="002A16BD">
          <w:rPr>
            <w:noProof/>
            <w:webHidden/>
          </w:rPr>
          <w:fldChar w:fldCharType="separate"/>
        </w:r>
        <w:r w:rsidR="0065465C">
          <w:rPr>
            <w:noProof/>
            <w:webHidden/>
          </w:rPr>
          <w:t>3</w:t>
        </w:r>
        <w:r w:rsidR="002A16BD">
          <w:rPr>
            <w:noProof/>
            <w:webHidden/>
          </w:rPr>
          <w:fldChar w:fldCharType="end"/>
        </w:r>
      </w:hyperlink>
    </w:p>
    <w:p w14:paraId="6ABAAB71" w14:textId="417B3FCC" w:rsidR="002A16BD" w:rsidRPr="00E11327" w:rsidRDefault="00507691" w:rsidP="00360574">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04" w:history="1">
        <w:r w:rsidR="002A16BD" w:rsidRPr="004626E5">
          <w:rPr>
            <w:rStyle w:val="Hyperlink"/>
            <w:noProof/>
          </w:rPr>
          <w:t>1.</w:t>
        </w:r>
        <w:r w:rsidR="002A16BD" w:rsidRPr="00E11327">
          <w:rPr>
            <w:rFonts w:ascii="Calibri" w:hAnsi="Calibri"/>
            <w:b w:val="0"/>
            <w:bCs w:val="0"/>
            <w:noProof/>
            <w:sz w:val="22"/>
            <w:szCs w:val="22"/>
          </w:rPr>
          <w:tab/>
        </w:r>
        <w:r w:rsidR="002A16BD" w:rsidRPr="004626E5">
          <w:rPr>
            <w:rStyle w:val="Hyperlink"/>
            <w:noProof/>
          </w:rPr>
          <w:t>The Corporation</w:t>
        </w:r>
        <w:r w:rsidR="002A16BD">
          <w:rPr>
            <w:noProof/>
            <w:webHidden/>
          </w:rPr>
          <w:tab/>
        </w:r>
        <w:r w:rsidR="002A16BD">
          <w:rPr>
            <w:noProof/>
            <w:webHidden/>
          </w:rPr>
          <w:fldChar w:fldCharType="begin"/>
        </w:r>
        <w:r w:rsidR="002A16BD">
          <w:rPr>
            <w:noProof/>
            <w:webHidden/>
          </w:rPr>
          <w:instrText xml:space="preserve"> PAGEREF _Toc140498304 \h </w:instrText>
        </w:r>
        <w:r w:rsidR="002A16BD">
          <w:rPr>
            <w:noProof/>
            <w:webHidden/>
          </w:rPr>
        </w:r>
        <w:r w:rsidR="002A16BD">
          <w:rPr>
            <w:noProof/>
            <w:webHidden/>
          </w:rPr>
          <w:fldChar w:fldCharType="separate"/>
        </w:r>
        <w:r w:rsidR="0065465C">
          <w:rPr>
            <w:noProof/>
            <w:webHidden/>
          </w:rPr>
          <w:t>3</w:t>
        </w:r>
        <w:r w:rsidR="002A16BD">
          <w:rPr>
            <w:noProof/>
            <w:webHidden/>
          </w:rPr>
          <w:fldChar w:fldCharType="end"/>
        </w:r>
      </w:hyperlink>
    </w:p>
    <w:p w14:paraId="164FFA66" w14:textId="53295D12"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05" w:history="1">
        <w:r w:rsidR="002A16BD" w:rsidRPr="004626E5">
          <w:rPr>
            <w:rStyle w:val="Hyperlink"/>
            <w:noProof/>
          </w:rPr>
          <w:t>2.</w:t>
        </w:r>
        <w:r w:rsidR="002A16BD" w:rsidRPr="00E11327">
          <w:rPr>
            <w:rFonts w:ascii="Calibri" w:hAnsi="Calibri"/>
            <w:b w:val="0"/>
            <w:bCs w:val="0"/>
            <w:noProof/>
            <w:sz w:val="22"/>
            <w:szCs w:val="22"/>
          </w:rPr>
          <w:tab/>
        </w:r>
        <w:r w:rsidR="002A16BD" w:rsidRPr="004626E5">
          <w:rPr>
            <w:rStyle w:val="Hyperlink"/>
            <w:noProof/>
          </w:rPr>
          <w:t>The Land Sale</w:t>
        </w:r>
        <w:r w:rsidR="002A16BD">
          <w:rPr>
            <w:noProof/>
            <w:webHidden/>
          </w:rPr>
          <w:tab/>
        </w:r>
        <w:r w:rsidR="002A16BD">
          <w:rPr>
            <w:noProof/>
            <w:webHidden/>
          </w:rPr>
          <w:fldChar w:fldCharType="begin"/>
        </w:r>
        <w:r w:rsidR="002A16BD">
          <w:rPr>
            <w:noProof/>
            <w:webHidden/>
          </w:rPr>
          <w:instrText xml:space="preserve"> PAGEREF _Toc140498305 \h </w:instrText>
        </w:r>
        <w:r w:rsidR="002A16BD">
          <w:rPr>
            <w:noProof/>
            <w:webHidden/>
          </w:rPr>
        </w:r>
        <w:r w:rsidR="002A16BD">
          <w:rPr>
            <w:noProof/>
            <w:webHidden/>
          </w:rPr>
          <w:fldChar w:fldCharType="separate"/>
        </w:r>
        <w:r w:rsidR="0065465C">
          <w:rPr>
            <w:noProof/>
            <w:webHidden/>
          </w:rPr>
          <w:t>3</w:t>
        </w:r>
        <w:r w:rsidR="002A16BD">
          <w:rPr>
            <w:noProof/>
            <w:webHidden/>
          </w:rPr>
          <w:fldChar w:fldCharType="end"/>
        </w:r>
      </w:hyperlink>
    </w:p>
    <w:p w14:paraId="1545E78F" w14:textId="77F9ACE8"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06" w:history="1">
        <w:r w:rsidR="002A16BD" w:rsidRPr="004626E5">
          <w:rPr>
            <w:rStyle w:val="Hyperlink"/>
            <w:noProof/>
          </w:rPr>
          <w:t>3.</w:t>
        </w:r>
        <w:r w:rsidR="002A16BD" w:rsidRPr="00E11327">
          <w:rPr>
            <w:rFonts w:ascii="Calibri" w:hAnsi="Calibri"/>
            <w:b w:val="0"/>
            <w:bCs w:val="0"/>
            <w:noProof/>
            <w:sz w:val="22"/>
            <w:szCs w:val="22"/>
          </w:rPr>
          <w:tab/>
        </w:r>
        <w:r w:rsidR="002A16BD" w:rsidRPr="004626E5">
          <w:rPr>
            <w:rStyle w:val="Hyperlink"/>
            <w:noProof/>
          </w:rPr>
          <w:t>The Lawsuits</w:t>
        </w:r>
        <w:r w:rsidR="002A16BD">
          <w:rPr>
            <w:noProof/>
            <w:webHidden/>
          </w:rPr>
          <w:tab/>
        </w:r>
        <w:r w:rsidR="002A16BD">
          <w:rPr>
            <w:noProof/>
            <w:webHidden/>
          </w:rPr>
          <w:fldChar w:fldCharType="begin"/>
        </w:r>
        <w:r w:rsidR="002A16BD">
          <w:rPr>
            <w:noProof/>
            <w:webHidden/>
          </w:rPr>
          <w:instrText xml:space="preserve"> PAGEREF _Toc140498306 \h </w:instrText>
        </w:r>
        <w:r w:rsidR="002A16BD">
          <w:rPr>
            <w:noProof/>
            <w:webHidden/>
          </w:rPr>
        </w:r>
        <w:r w:rsidR="002A16BD">
          <w:rPr>
            <w:noProof/>
            <w:webHidden/>
          </w:rPr>
          <w:fldChar w:fldCharType="separate"/>
        </w:r>
        <w:r w:rsidR="0065465C">
          <w:rPr>
            <w:noProof/>
            <w:webHidden/>
          </w:rPr>
          <w:t>3</w:t>
        </w:r>
        <w:r w:rsidR="002A16BD">
          <w:rPr>
            <w:noProof/>
            <w:webHidden/>
          </w:rPr>
          <w:fldChar w:fldCharType="end"/>
        </w:r>
      </w:hyperlink>
    </w:p>
    <w:p w14:paraId="35D11DE2" w14:textId="6ADE0617"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07" w:history="1">
        <w:r w:rsidR="002A16BD" w:rsidRPr="004626E5">
          <w:rPr>
            <w:rStyle w:val="Hyperlink"/>
            <w:noProof/>
          </w:rPr>
          <w:t>4.</w:t>
        </w:r>
        <w:r w:rsidR="002A16BD" w:rsidRPr="00E11327">
          <w:rPr>
            <w:rFonts w:ascii="Calibri" w:hAnsi="Calibri"/>
            <w:b w:val="0"/>
            <w:bCs w:val="0"/>
            <w:noProof/>
            <w:sz w:val="22"/>
            <w:szCs w:val="22"/>
          </w:rPr>
          <w:tab/>
        </w:r>
        <w:r w:rsidR="002A16BD" w:rsidRPr="004626E5">
          <w:rPr>
            <w:rStyle w:val="Hyperlink"/>
            <w:noProof/>
          </w:rPr>
          <w:t>Legal Expenses (Preliminary Order (PO) Issue 8)</w:t>
        </w:r>
        <w:r w:rsidR="002A16BD">
          <w:rPr>
            <w:noProof/>
            <w:webHidden/>
          </w:rPr>
          <w:tab/>
        </w:r>
        <w:r w:rsidR="002A16BD">
          <w:rPr>
            <w:noProof/>
            <w:webHidden/>
          </w:rPr>
          <w:fldChar w:fldCharType="begin"/>
        </w:r>
        <w:r w:rsidR="002A16BD">
          <w:rPr>
            <w:noProof/>
            <w:webHidden/>
          </w:rPr>
          <w:instrText xml:space="preserve"> PAGEREF _Toc140498307 \h </w:instrText>
        </w:r>
        <w:r w:rsidR="002A16BD">
          <w:rPr>
            <w:noProof/>
            <w:webHidden/>
          </w:rPr>
        </w:r>
        <w:r w:rsidR="002A16BD">
          <w:rPr>
            <w:noProof/>
            <w:webHidden/>
          </w:rPr>
          <w:fldChar w:fldCharType="separate"/>
        </w:r>
        <w:r w:rsidR="0065465C">
          <w:rPr>
            <w:noProof/>
            <w:webHidden/>
          </w:rPr>
          <w:t>4</w:t>
        </w:r>
        <w:r w:rsidR="002A16BD">
          <w:rPr>
            <w:noProof/>
            <w:webHidden/>
          </w:rPr>
          <w:fldChar w:fldCharType="end"/>
        </w:r>
      </w:hyperlink>
    </w:p>
    <w:p w14:paraId="32744523" w14:textId="28FCF6D8"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08" w:history="1">
        <w:r w:rsidR="002A16BD" w:rsidRPr="004626E5">
          <w:rPr>
            <w:rStyle w:val="Hyperlink"/>
            <w:noProof/>
          </w:rPr>
          <w:t>5.</w:t>
        </w:r>
        <w:r w:rsidR="002A16BD" w:rsidRPr="00E11327">
          <w:rPr>
            <w:rFonts w:ascii="Calibri" w:hAnsi="Calibri"/>
            <w:b w:val="0"/>
            <w:bCs w:val="0"/>
            <w:noProof/>
            <w:sz w:val="22"/>
            <w:szCs w:val="22"/>
          </w:rPr>
          <w:tab/>
        </w:r>
        <w:r w:rsidR="002A16BD" w:rsidRPr="004626E5">
          <w:rPr>
            <w:rStyle w:val="Hyperlink"/>
            <w:noProof/>
          </w:rPr>
          <w:t>Allied World’s Action</w:t>
        </w:r>
        <w:r w:rsidR="002A16BD">
          <w:rPr>
            <w:noProof/>
            <w:webHidden/>
          </w:rPr>
          <w:tab/>
        </w:r>
        <w:r w:rsidR="002A16BD">
          <w:rPr>
            <w:noProof/>
            <w:webHidden/>
          </w:rPr>
          <w:fldChar w:fldCharType="begin"/>
        </w:r>
        <w:r w:rsidR="002A16BD">
          <w:rPr>
            <w:noProof/>
            <w:webHidden/>
          </w:rPr>
          <w:instrText xml:space="preserve"> PAGEREF _Toc140498308 \h </w:instrText>
        </w:r>
        <w:r w:rsidR="002A16BD">
          <w:rPr>
            <w:noProof/>
            <w:webHidden/>
          </w:rPr>
        </w:r>
        <w:r w:rsidR="002A16BD">
          <w:rPr>
            <w:noProof/>
            <w:webHidden/>
          </w:rPr>
          <w:fldChar w:fldCharType="separate"/>
        </w:r>
        <w:r w:rsidR="0065465C">
          <w:rPr>
            <w:noProof/>
            <w:webHidden/>
          </w:rPr>
          <w:t>5</w:t>
        </w:r>
        <w:r w:rsidR="002A16BD">
          <w:rPr>
            <w:noProof/>
            <w:webHidden/>
          </w:rPr>
          <w:fldChar w:fldCharType="end"/>
        </w:r>
      </w:hyperlink>
    </w:p>
    <w:p w14:paraId="318D27FB" w14:textId="2A3F4FD0"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09" w:history="1">
        <w:r w:rsidR="002A16BD" w:rsidRPr="004626E5">
          <w:rPr>
            <w:rStyle w:val="Hyperlink"/>
            <w:noProof/>
          </w:rPr>
          <w:t>6.</w:t>
        </w:r>
        <w:r w:rsidR="002A16BD" w:rsidRPr="00E11327">
          <w:rPr>
            <w:rFonts w:ascii="Calibri" w:hAnsi="Calibri"/>
            <w:b w:val="0"/>
            <w:bCs w:val="0"/>
            <w:noProof/>
            <w:sz w:val="22"/>
            <w:szCs w:val="22"/>
          </w:rPr>
          <w:tab/>
        </w:r>
        <w:r w:rsidR="002A16BD" w:rsidRPr="004626E5">
          <w:rPr>
            <w:rStyle w:val="Hyperlink"/>
            <w:noProof/>
          </w:rPr>
          <w:t>Other Financial Commitments</w:t>
        </w:r>
        <w:r w:rsidR="002A16BD">
          <w:rPr>
            <w:noProof/>
            <w:webHidden/>
          </w:rPr>
          <w:tab/>
        </w:r>
        <w:r w:rsidR="002A16BD">
          <w:rPr>
            <w:noProof/>
            <w:webHidden/>
          </w:rPr>
          <w:fldChar w:fldCharType="begin"/>
        </w:r>
        <w:r w:rsidR="002A16BD">
          <w:rPr>
            <w:noProof/>
            <w:webHidden/>
          </w:rPr>
          <w:instrText xml:space="preserve"> PAGEREF _Toc140498309 \h </w:instrText>
        </w:r>
        <w:r w:rsidR="002A16BD">
          <w:rPr>
            <w:noProof/>
            <w:webHidden/>
          </w:rPr>
        </w:r>
        <w:r w:rsidR="002A16BD">
          <w:rPr>
            <w:noProof/>
            <w:webHidden/>
          </w:rPr>
          <w:fldChar w:fldCharType="separate"/>
        </w:r>
        <w:r w:rsidR="0065465C">
          <w:rPr>
            <w:noProof/>
            <w:webHidden/>
          </w:rPr>
          <w:t>5</w:t>
        </w:r>
        <w:r w:rsidR="002A16BD">
          <w:rPr>
            <w:noProof/>
            <w:webHidden/>
          </w:rPr>
          <w:fldChar w:fldCharType="end"/>
        </w:r>
      </w:hyperlink>
    </w:p>
    <w:p w14:paraId="0F43A0FA" w14:textId="5BE60457"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0" w:history="1">
        <w:r w:rsidR="002A16BD" w:rsidRPr="004626E5">
          <w:rPr>
            <w:rStyle w:val="Hyperlink"/>
            <w:noProof/>
          </w:rPr>
          <w:t>7.</w:t>
        </w:r>
        <w:r w:rsidR="002A16BD" w:rsidRPr="00E11327">
          <w:rPr>
            <w:rFonts w:ascii="Calibri" w:hAnsi="Calibri"/>
            <w:b w:val="0"/>
            <w:bCs w:val="0"/>
            <w:noProof/>
            <w:sz w:val="22"/>
            <w:szCs w:val="22"/>
          </w:rPr>
          <w:tab/>
        </w:r>
        <w:r w:rsidR="002A16BD" w:rsidRPr="004626E5">
          <w:rPr>
            <w:rStyle w:val="Hyperlink"/>
            <w:noProof/>
          </w:rPr>
          <w:t>The Board’s Decision</w:t>
        </w:r>
        <w:r w:rsidR="002A16BD">
          <w:rPr>
            <w:noProof/>
            <w:webHidden/>
          </w:rPr>
          <w:tab/>
        </w:r>
        <w:r w:rsidR="002A16BD">
          <w:rPr>
            <w:noProof/>
            <w:webHidden/>
          </w:rPr>
          <w:fldChar w:fldCharType="begin"/>
        </w:r>
        <w:r w:rsidR="002A16BD">
          <w:rPr>
            <w:noProof/>
            <w:webHidden/>
          </w:rPr>
          <w:instrText xml:space="preserve"> PAGEREF _Toc140498310 \h </w:instrText>
        </w:r>
        <w:r w:rsidR="002A16BD">
          <w:rPr>
            <w:noProof/>
            <w:webHidden/>
          </w:rPr>
        </w:r>
        <w:r w:rsidR="002A16BD">
          <w:rPr>
            <w:noProof/>
            <w:webHidden/>
          </w:rPr>
          <w:fldChar w:fldCharType="separate"/>
        </w:r>
        <w:r w:rsidR="0065465C">
          <w:rPr>
            <w:noProof/>
            <w:webHidden/>
          </w:rPr>
          <w:t>5</w:t>
        </w:r>
        <w:r w:rsidR="002A16BD">
          <w:rPr>
            <w:noProof/>
            <w:webHidden/>
          </w:rPr>
          <w:fldChar w:fldCharType="end"/>
        </w:r>
      </w:hyperlink>
    </w:p>
    <w:p w14:paraId="308353AA" w14:textId="41B00BF9" w:rsidR="002A16BD" w:rsidRPr="00E11327" w:rsidRDefault="00507691" w:rsidP="00CB01BC">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11" w:history="1">
        <w:r w:rsidR="002A16BD" w:rsidRPr="004626E5">
          <w:rPr>
            <w:rStyle w:val="Hyperlink"/>
            <w:noProof/>
          </w:rPr>
          <w:t>B.</w:t>
        </w:r>
        <w:r w:rsidR="002A16BD" w:rsidRPr="00E11327">
          <w:rPr>
            <w:rFonts w:ascii="Calibri" w:hAnsi="Calibri"/>
            <w:b w:val="0"/>
            <w:bCs w:val="0"/>
            <w:noProof/>
            <w:sz w:val="22"/>
            <w:szCs w:val="22"/>
          </w:rPr>
          <w:tab/>
        </w:r>
        <w:r w:rsidR="002A16BD" w:rsidRPr="004626E5">
          <w:rPr>
            <w:rStyle w:val="Hyperlink"/>
            <w:noProof/>
          </w:rPr>
          <w:t>System Customer Characteristics (PO Issue 1)</w:t>
        </w:r>
        <w:r w:rsidR="002A16BD">
          <w:rPr>
            <w:noProof/>
            <w:webHidden/>
          </w:rPr>
          <w:tab/>
        </w:r>
        <w:r w:rsidR="002A16BD">
          <w:rPr>
            <w:noProof/>
            <w:webHidden/>
          </w:rPr>
          <w:fldChar w:fldCharType="begin"/>
        </w:r>
        <w:r w:rsidR="002A16BD">
          <w:rPr>
            <w:noProof/>
            <w:webHidden/>
          </w:rPr>
          <w:instrText xml:space="preserve"> PAGEREF _Toc140498311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392D671E" w14:textId="2CB49380"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2" w:history="1">
        <w:r w:rsidR="002A16BD" w:rsidRPr="004626E5">
          <w:rPr>
            <w:rStyle w:val="Hyperlink"/>
            <w:noProof/>
          </w:rPr>
          <w:t>1.</w:t>
        </w:r>
        <w:r w:rsidR="002A16BD" w:rsidRPr="00E11327">
          <w:rPr>
            <w:rFonts w:ascii="Calibri" w:hAnsi="Calibri"/>
            <w:b w:val="0"/>
            <w:bCs w:val="0"/>
            <w:noProof/>
            <w:sz w:val="22"/>
            <w:szCs w:val="22"/>
          </w:rPr>
          <w:tab/>
        </w:r>
        <w:r w:rsidR="002A16BD" w:rsidRPr="004626E5">
          <w:rPr>
            <w:rStyle w:val="Hyperlink"/>
            <w:noProof/>
          </w:rPr>
          <w:t>Staff’s Position</w:t>
        </w:r>
        <w:r w:rsidR="002A16BD">
          <w:rPr>
            <w:noProof/>
            <w:webHidden/>
          </w:rPr>
          <w:tab/>
        </w:r>
        <w:r w:rsidR="002A16BD">
          <w:rPr>
            <w:noProof/>
            <w:webHidden/>
          </w:rPr>
          <w:fldChar w:fldCharType="begin"/>
        </w:r>
        <w:r w:rsidR="002A16BD">
          <w:rPr>
            <w:noProof/>
            <w:webHidden/>
          </w:rPr>
          <w:instrText xml:space="preserve"> PAGEREF _Toc140498312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1DD9B2E2" w14:textId="4DDC528B"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3" w:history="1">
        <w:r w:rsidR="002A16BD" w:rsidRPr="004626E5">
          <w:rPr>
            <w:rStyle w:val="Hyperlink"/>
            <w:noProof/>
          </w:rPr>
          <w:t>2.</w:t>
        </w:r>
        <w:r w:rsidR="002A16BD" w:rsidRPr="00E11327">
          <w:rPr>
            <w:rFonts w:ascii="Calibri" w:hAnsi="Calibri"/>
            <w:b w:val="0"/>
            <w:bCs w:val="0"/>
            <w:noProof/>
            <w:sz w:val="22"/>
            <w:szCs w:val="22"/>
          </w:rPr>
          <w:tab/>
        </w:r>
        <w:r w:rsidR="002A16BD" w:rsidRPr="004626E5">
          <w:rPr>
            <w:rStyle w:val="Hyperlink"/>
            <w:noProof/>
          </w:rPr>
          <w:t>Ratepayers’ Position</w:t>
        </w:r>
        <w:r w:rsidR="002A16BD">
          <w:rPr>
            <w:noProof/>
            <w:webHidden/>
          </w:rPr>
          <w:tab/>
        </w:r>
        <w:r w:rsidR="002A16BD">
          <w:rPr>
            <w:noProof/>
            <w:webHidden/>
          </w:rPr>
          <w:fldChar w:fldCharType="begin"/>
        </w:r>
        <w:r w:rsidR="002A16BD">
          <w:rPr>
            <w:noProof/>
            <w:webHidden/>
          </w:rPr>
          <w:instrText xml:space="preserve"> PAGEREF _Toc140498313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43B0386E" w14:textId="71C1099B"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4" w:history="1">
        <w:r w:rsidR="002A16BD" w:rsidRPr="004626E5">
          <w:rPr>
            <w:rStyle w:val="Hyperlink"/>
            <w:noProof/>
          </w:rPr>
          <w:t>3.</w:t>
        </w:r>
        <w:r w:rsidR="002A16BD" w:rsidRPr="00E11327">
          <w:rPr>
            <w:rFonts w:ascii="Calibri" w:hAnsi="Calibri"/>
            <w:b w:val="0"/>
            <w:bCs w:val="0"/>
            <w:noProof/>
            <w:sz w:val="22"/>
            <w:szCs w:val="22"/>
          </w:rPr>
          <w:tab/>
        </w:r>
        <w:r w:rsidR="002A16BD" w:rsidRPr="004626E5">
          <w:rPr>
            <w:rStyle w:val="Hyperlink"/>
            <w:noProof/>
          </w:rPr>
          <w:t>Windermere’s Position</w:t>
        </w:r>
        <w:r w:rsidR="002A16BD">
          <w:rPr>
            <w:noProof/>
            <w:webHidden/>
          </w:rPr>
          <w:tab/>
        </w:r>
        <w:r w:rsidR="002A16BD">
          <w:rPr>
            <w:noProof/>
            <w:webHidden/>
          </w:rPr>
          <w:fldChar w:fldCharType="begin"/>
        </w:r>
        <w:r w:rsidR="002A16BD">
          <w:rPr>
            <w:noProof/>
            <w:webHidden/>
          </w:rPr>
          <w:instrText xml:space="preserve"> PAGEREF _Toc140498314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5A71B3DE" w14:textId="61294CA2"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5" w:history="1">
        <w:r w:rsidR="002A16BD" w:rsidRPr="004626E5">
          <w:rPr>
            <w:rStyle w:val="Hyperlink"/>
            <w:noProof/>
          </w:rPr>
          <w:t>4.</w:t>
        </w:r>
        <w:r w:rsidR="002A16BD" w:rsidRPr="00E11327">
          <w:rPr>
            <w:rFonts w:ascii="Calibri" w:hAnsi="Calibri"/>
            <w:b w:val="0"/>
            <w:bCs w:val="0"/>
            <w:noProof/>
            <w:sz w:val="22"/>
            <w:szCs w:val="22"/>
          </w:rPr>
          <w:tab/>
        </w:r>
        <w:r w:rsidR="002A16BD" w:rsidRPr="004626E5">
          <w:rPr>
            <w:rStyle w:val="Hyperlink"/>
            <w:noProof/>
          </w:rPr>
          <w:t>Analysis</w:t>
        </w:r>
        <w:r w:rsidR="002A16BD">
          <w:rPr>
            <w:noProof/>
            <w:webHidden/>
          </w:rPr>
          <w:tab/>
        </w:r>
        <w:r w:rsidR="002A16BD">
          <w:rPr>
            <w:noProof/>
            <w:webHidden/>
          </w:rPr>
          <w:fldChar w:fldCharType="begin"/>
        </w:r>
        <w:r w:rsidR="002A16BD">
          <w:rPr>
            <w:noProof/>
            <w:webHidden/>
          </w:rPr>
          <w:instrText xml:space="preserve"> PAGEREF _Toc140498315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570E38AB" w14:textId="7836DE14" w:rsidR="002A16BD" w:rsidRPr="00E11327" w:rsidRDefault="00507691" w:rsidP="00CB01BC">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16" w:history="1">
        <w:r w:rsidR="002A16BD" w:rsidRPr="004626E5">
          <w:rPr>
            <w:rStyle w:val="Hyperlink"/>
            <w:noProof/>
          </w:rPr>
          <w:t>C.</w:t>
        </w:r>
        <w:r w:rsidR="002A16BD" w:rsidRPr="00E11327">
          <w:rPr>
            <w:rFonts w:ascii="Calibri" w:hAnsi="Calibri"/>
            <w:b w:val="0"/>
            <w:bCs w:val="0"/>
            <w:noProof/>
            <w:sz w:val="22"/>
            <w:szCs w:val="22"/>
          </w:rPr>
          <w:tab/>
        </w:r>
        <w:r w:rsidR="002A16BD" w:rsidRPr="004626E5">
          <w:rPr>
            <w:rStyle w:val="Hyperlink"/>
            <w:noProof/>
          </w:rPr>
          <w:t>Information Available After Windermere’s Rate Decision</w:t>
        </w:r>
        <w:r w:rsidR="002A16BD">
          <w:rPr>
            <w:noProof/>
            <w:webHidden/>
          </w:rPr>
          <w:tab/>
        </w:r>
        <w:r w:rsidR="002A16BD">
          <w:rPr>
            <w:noProof/>
            <w:webHidden/>
          </w:rPr>
          <w:fldChar w:fldCharType="begin"/>
        </w:r>
        <w:r w:rsidR="002A16BD">
          <w:rPr>
            <w:noProof/>
            <w:webHidden/>
          </w:rPr>
          <w:instrText xml:space="preserve"> PAGEREF _Toc140498316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57A0DCF9" w14:textId="53F6FE78"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7" w:history="1">
        <w:r w:rsidR="002A16BD" w:rsidRPr="004626E5">
          <w:rPr>
            <w:rStyle w:val="Hyperlink"/>
            <w:noProof/>
          </w:rPr>
          <w:t>1.</w:t>
        </w:r>
        <w:r w:rsidR="002A16BD" w:rsidRPr="00E11327">
          <w:rPr>
            <w:rFonts w:ascii="Calibri" w:hAnsi="Calibri"/>
            <w:b w:val="0"/>
            <w:bCs w:val="0"/>
            <w:noProof/>
            <w:sz w:val="22"/>
            <w:szCs w:val="22"/>
          </w:rPr>
          <w:tab/>
        </w:r>
        <w:r w:rsidR="002A16BD" w:rsidRPr="004626E5">
          <w:rPr>
            <w:rStyle w:val="Hyperlink"/>
            <w:noProof/>
          </w:rPr>
          <w:t>Paxton Lawsuit</w:t>
        </w:r>
        <w:r w:rsidR="002A16BD">
          <w:rPr>
            <w:noProof/>
            <w:webHidden/>
          </w:rPr>
          <w:tab/>
        </w:r>
        <w:r w:rsidR="002A16BD">
          <w:rPr>
            <w:noProof/>
            <w:webHidden/>
          </w:rPr>
          <w:fldChar w:fldCharType="begin"/>
        </w:r>
        <w:r w:rsidR="002A16BD">
          <w:rPr>
            <w:noProof/>
            <w:webHidden/>
          </w:rPr>
          <w:instrText xml:space="preserve"> PAGEREF _Toc140498317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514A2907" w14:textId="4FE11453"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8" w:history="1">
        <w:r w:rsidR="002A16BD" w:rsidRPr="004626E5">
          <w:rPr>
            <w:rStyle w:val="Hyperlink"/>
            <w:noProof/>
          </w:rPr>
          <w:t>2.</w:t>
        </w:r>
        <w:r w:rsidR="002A16BD" w:rsidRPr="00E11327">
          <w:rPr>
            <w:rFonts w:ascii="Calibri" w:hAnsi="Calibri"/>
            <w:b w:val="0"/>
            <w:bCs w:val="0"/>
            <w:noProof/>
            <w:sz w:val="22"/>
            <w:szCs w:val="22"/>
          </w:rPr>
          <w:tab/>
        </w:r>
        <w:r w:rsidR="002A16BD" w:rsidRPr="004626E5">
          <w:rPr>
            <w:rStyle w:val="Hyperlink"/>
            <w:noProof/>
          </w:rPr>
          <w:t>Double F Hangar Lawsuit</w:t>
        </w:r>
        <w:r w:rsidR="002A16BD">
          <w:rPr>
            <w:noProof/>
            <w:webHidden/>
          </w:rPr>
          <w:tab/>
        </w:r>
        <w:r w:rsidR="002A16BD">
          <w:rPr>
            <w:noProof/>
            <w:webHidden/>
          </w:rPr>
          <w:fldChar w:fldCharType="begin"/>
        </w:r>
        <w:r w:rsidR="002A16BD">
          <w:rPr>
            <w:noProof/>
            <w:webHidden/>
          </w:rPr>
          <w:instrText xml:space="preserve"> PAGEREF _Toc140498318 \h </w:instrText>
        </w:r>
        <w:r w:rsidR="002A16BD">
          <w:rPr>
            <w:noProof/>
            <w:webHidden/>
          </w:rPr>
        </w:r>
        <w:r w:rsidR="002A16BD">
          <w:rPr>
            <w:noProof/>
            <w:webHidden/>
          </w:rPr>
          <w:fldChar w:fldCharType="separate"/>
        </w:r>
        <w:r w:rsidR="0065465C">
          <w:rPr>
            <w:noProof/>
            <w:webHidden/>
          </w:rPr>
          <w:t>7</w:t>
        </w:r>
        <w:r w:rsidR="002A16BD">
          <w:rPr>
            <w:noProof/>
            <w:webHidden/>
          </w:rPr>
          <w:fldChar w:fldCharType="end"/>
        </w:r>
      </w:hyperlink>
    </w:p>
    <w:p w14:paraId="2514D2F4" w14:textId="05E8819A"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19" w:history="1">
        <w:r w:rsidR="002A16BD" w:rsidRPr="004626E5">
          <w:rPr>
            <w:rStyle w:val="Hyperlink"/>
            <w:noProof/>
          </w:rPr>
          <w:t>3.</w:t>
        </w:r>
        <w:r w:rsidR="002A16BD" w:rsidRPr="00E11327">
          <w:rPr>
            <w:rFonts w:ascii="Calibri" w:hAnsi="Calibri"/>
            <w:b w:val="0"/>
            <w:bCs w:val="0"/>
            <w:noProof/>
            <w:sz w:val="22"/>
            <w:szCs w:val="22"/>
          </w:rPr>
          <w:tab/>
        </w:r>
        <w:r w:rsidR="002A16BD" w:rsidRPr="004626E5">
          <w:rPr>
            <w:rStyle w:val="Hyperlink"/>
            <w:noProof/>
          </w:rPr>
          <w:t>Allied World Lawsuit</w:t>
        </w:r>
        <w:r w:rsidR="002A16BD">
          <w:rPr>
            <w:noProof/>
            <w:webHidden/>
          </w:rPr>
          <w:tab/>
        </w:r>
        <w:r w:rsidR="002A16BD">
          <w:rPr>
            <w:noProof/>
            <w:webHidden/>
          </w:rPr>
          <w:fldChar w:fldCharType="begin"/>
        </w:r>
        <w:r w:rsidR="002A16BD">
          <w:rPr>
            <w:noProof/>
            <w:webHidden/>
          </w:rPr>
          <w:instrText xml:space="preserve"> PAGEREF _Toc140498319 \h </w:instrText>
        </w:r>
        <w:r w:rsidR="002A16BD">
          <w:rPr>
            <w:noProof/>
            <w:webHidden/>
          </w:rPr>
        </w:r>
        <w:r w:rsidR="002A16BD">
          <w:rPr>
            <w:noProof/>
            <w:webHidden/>
          </w:rPr>
          <w:fldChar w:fldCharType="separate"/>
        </w:r>
        <w:r w:rsidR="0065465C">
          <w:rPr>
            <w:noProof/>
            <w:webHidden/>
          </w:rPr>
          <w:t>8</w:t>
        </w:r>
        <w:r w:rsidR="002A16BD">
          <w:rPr>
            <w:noProof/>
            <w:webHidden/>
          </w:rPr>
          <w:fldChar w:fldCharType="end"/>
        </w:r>
      </w:hyperlink>
    </w:p>
    <w:p w14:paraId="2AED9337" w14:textId="500ED94D"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20" w:history="1">
        <w:r w:rsidR="002A16BD" w:rsidRPr="004626E5">
          <w:rPr>
            <w:rStyle w:val="Hyperlink"/>
            <w:noProof/>
          </w:rPr>
          <w:t>4.</w:t>
        </w:r>
        <w:r w:rsidR="002A16BD" w:rsidRPr="00E11327">
          <w:rPr>
            <w:rFonts w:ascii="Calibri" w:hAnsi="Calibri"/>
            <w:b w:val="0"/>
            <w:bCs w:val="0"/>
            <w:noProof/>
            <w:sz w:val="22"/>
            <w:szCs w:val="22"/>
          </w:rPr>
          <w:tab/>
        </w:r>
        <w:r w:rsidR="002A16BD" w:rsidRPr="004626E5">
          <w:rPr>
            <w:rStyle w:val="Hyperlink"/>
            <w:noProof/>
          </w:rPr>
          <w:t>Other Activities</w:t>
        </w:r>
        <w:r w:rsidR="002A16BD">
          <w:rPr>
            <w:noProof/>
            <w:webHidden/>
          </w:rPr>
          <w:tab/>
        </w:r>
        <w:r w:rsidR="002A16BD">
          <w:rPr>
            <w:noProof/>
            <w:webHidden/>
          </w:rPr>
          <w:fldChar w:fldCharType="begin"/>
        </w:r>
        <w:r w:rsidR="002A16BD">
          <w:rPr>
            <w:noProof/>
            <w:webHidden/>
          </w:rPr>
          <w:instrText xml:space="preserve"> PAGEREF _Toc140498320 \h </w:instrText>
        </w:r>
        <w:r w:rsidR="002A16BD">
          <w:rPr>
            <w:noProof/>
            <w:webHidden/>
          </w:rPr>
        </w:r>
        <w:r w:rsidR="002A16BD">
          <w:rPr>
            <w:noProof/>
            <w:webHidden/>
          </w:rPr>
          <w:fldChar w:fldCharType="separate"/>
        </w:r>
        <w:r w:rsidR="0065465C">
          <w:rPr>
            <w:noProof/>
            <w:webHidden/>
          </w:rPr>
          <w:t>8</w:t>
        </w:r>
        <w:r w:rsidR="002A16BD">
          <w:rPr>
            <w:noProof/>
            <w:webHidden/>
          </w:rPr>
          <w:fldChar w:fldCharType="end"/>
        </w:r>
      </w:hyperlink>
    </w:p>
    <w:p w14:paraId="77355DC6" w14:textId="4E462AD1"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21" w:history="1">
        <w:r w:rsidR="002A16BD" w:rsidRPr="004626E5">
          <w:rPr>
            <w:rStyle w:val="Hyperlink"/>
            <w:noProof/>
          </w:rPr>
          <w:t>5.</w:t>
        </w:r>
        <w:r w:rsidR="002A16BD" w:rsidRPr="00E11327">
          <w:rPr>
            <w:rFonts w:ascii="Calibri" w:hAnsi="Calibri"/>
            <w:b w:val="0"/>
            <w:bCs w:val="0"/>
            <w:noProof/>
            <w:sz w:val="22"/>
            <w:szCs w:val="22"/>
          </w:rPr>
          <w:tab/>
        </w:r>
        <w:r w:rsidR="002A16BD" w:rsidRPr="004626E5">
          <w:rPr>
            <w:rStyle w:val="Hyperlink"/>
            <w:noProof/>
          </w:rPr>
          <w:t>Legal Expenses</w:t>
        </w:r>
        <w:r w:rsidR="002A16BD">
          <w:rPr>
            <w:noProof/>
            <w:webHidden/>
          </w:rPr>
          <w:tab/>
        </w:r>
        <w:r w:rsidR="002A16BD">
          <w:rPr>
            <w:noProof/>
            <w:webHidden/>
          </w:rPr>
          <w:fldChar w:fldCharType="begin"/>
        </w:r>
        <w:r w:rsidR="002A16BD">
          <w:rPr>
            <w:noProof/>
            <w:webHidden/>
          </w:rPr>
          <w:instrText xml:space="preserve"> PAGEREF _Toc140498321 \h </w:instrText>
        </w:r>
        <w:r w:rsidR="002A16BD">
          <w:rPr>
            <w:noProof/>
            <w:webHidden/>
          </w:rPr>
        </w:r>
        <w:r w:rsidR="002A16BD">
          <w:rPr>
            <w:noProof/>
            <w:webHidden/>
          </w:rPr>
          <w:fldChar w:fldCharType="separate"/>
        </w:r>
        <w:r w:rsidR="0065465C">
          <w:rPr>
            <w:noProof/>
            <w:webHidden/>
          </w:rPr>
          <w:t>8</w:t>
        </w:r>
        <w:r w:rsidR="002A16BD">
          <w:rPr>
            <w:noProof/>
            <w:webHidden/>
          </w:rPr>
          <w:fldChar w:fldCharType="end"/>
        </w:r>
      </w:hyperlink>
    </w:p>
    <w:p w14:paraId="555B68FE" w14:textId="1F469A2C" w:rsidR="002A16BD" w:rsidRPr="00E11327" w:rsidRDefault="00507691" w:rsidP="00CB01BC">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22" w:history="1">
        <w:r w:rsidR="002A16BD" w:rsidRPr="004626E5">
          <w:rPr>
            <w:rStyle w:val="Hyperlink"/>
            <w:noProof/>
          </w:rPr>
          <w:t>D.</w:t>
        </w:r>
        <w:r w:rsidR="002A16BD" w:rsidRPr="00E11327">
          <w:rPr>
            <w:rFonts w:ascii="Calibri" w:hAnsi="Calibri"/>
            <w:b w:val="0"/>
            <w:bCs w:val="0"/>
            <w:noProof/>
            <w:sz w:val="22"/>
            <w:szCs w:val="22"/>
          </w:rPr>
          <w:tab/>
        </w:r>
        <w:r w:rsidR="002A16BD" w:rsidRPr="004626E5">
          <w:rPr>
            <w:rStyle w:val="Hyperlink"/>
            <w:noProof/>
          </w:rPr>
          <w:t>Revenue Requirement (PO Issue 7)</w:t>
        </w:r>
        <w:r w:rsidR="002A16BD">
          <w:rPr>
            <w:noProof/>
            <w:webHidden/>
          </w:rPr>
          <w:tab/>
        </w:r>
        <w:r w:rsidR="002A16BD">
          <w:rPr>
            <w:noProof/>
            <w:webHidden/>
          </w:rPr>
          <w:fldChar w:fldCharType="begin"/>
        </w:r>
        <w:r w:rsidR="002A16BD">
          <w:rPr>
            <w:noProof/>
            <w:webHidden/>
          </w:rPr>
          <w:instrText xml:space="preserve"> PAGEREF _Toc140498322 \h </w:instrText>
        </w:r>
        <w:r w:rsidR="002A16BD">
          <w:rPr>
            <w:noProof/>
            <w:webHidden/>
          </w:rPr>
        </w:r>
        <w:r w:rsidR="002A16BD">
          <w:rPr>
            <w:noProof/>
            <w:webHidden/>
          </w:rPr>
          <w:fldChar w:fldCharType="separate"/>
        </w:r>
        <w:r w:rsidR="0065465C">
          <w:rPr>
            <w:noProof/>
            <w:webHidden/>
          </w:rPr>
          <w:t>8</w:t>
        </w:r>
        <w:r w:rsidR="002A16BD">
          <w:rPr>
            <w:noProof/>
            <w:webHidden/>
          </w:rPr>
          <w:fldChar w:fldCharType="end"/>
        </w:r>
      </w:hyperlink>
    </w:p>
    <w:p w14:paraId="2ED7C00D" w14:textId="656606E1"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23" w:history="1">
        <w:r w:rsidR="002A16BD" w:rsidRPr="004626E5">
          <w:rPr>
            <w:rStyle w:val="Hyperlink"/>
            <w:noProof/>
          </w:rPr>
          <w:t>1.</w:t>
        </w:r>
        <w:r w:rsidR="002A16BD" w:rsidRPr="00E11327">
          <w:rPr>
            <w:rFonts w:ascii="Calibri" w:hAnsi="Calibri"/>
            <w:b w:val="0"/>
            <w:bCs w:val="0"/>
            <w:noProof/>
            <w:sz w:val="22"/>
            <w:szCs w:val="22"/>
          </w:rPr>
          <w:tab/>
        </w:r>
        <w:r w:rsidR="002A16BD" w:rsidRPr="004626E5">
          <w:rPr>
            <w:rStyle w:val="Hyperlink"/>
            <w:noProof/>
          </w:rPr>
          <w:t>Staff’s Position</w:t>
        </w:r>
        <w:r w:rsidR="002A16BD">
          <w:rPr>
            <w:noProof/>
            <w:webHidden/>
          </w:rPr>
          <w:tab/>
        </w:r>
        <w:r w:rsidR="002A16BD">
          <w:rPr>
            <w:noProof/>
            <w:webHidden/>
          </w:rPr>
          <w:fldChar w:fldCharType="begin"/>
        </w:r>
        <w:r w:rsidR="002A16BD">
          <w:rPr>
            <w:noProof/>
            <w:webHidden/>
          </w:rPr>
          <w:instrText xml:space="preserve"> PAGEREF _Toc140498323 \h </w:instrText>
        </w:r>
        <w:r w:rsidR="002A16BD">
          <w:rPr>
            <w:noProof/>
            <w:webHidden/>
          </w:rPr>
        </w:r>
        <w:r w:rsidR="002A16BD">
          <w:rPr>
            <w:noProof/>
            <w:webHidden/>
          </w:rPr>
          <w:fldChar w:fldCharType="separate"/>
        </w:r>
        <w:r w:rsidR="0065465C">
          <w:rPr>
            <w:noProof/>
            <w:webHidden/>
          </w:rPr>
          <w:t>10</w:t>
        </w:r>
        <w:r w:rsidR="002A16BD">
          <w:rPr>
            <w:noProof/>
            <w:webHidden/>
          </w:rPr>
          <w:fldChar w:fldCharType="end"/>
        </w:r>
      </w:hyperlink>
    </w:p>
    <w:p w14:paraId="25EF7C28" w14:textId="4F41953F"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24" w:history="1">
        <w:r w:rsidR="002A16BD" w:rsidRPr="004626E5">
          <w:rPr>
            <w:rStyle w:val="Hyperlink"/>
            <w:noProof/>
          </w:rPr>
          <w:t>2.</w:t>
        </w:r>
        <w:r w:rsidR="002A16BD" w:rsidRPr="00E11327">
          <w:rPr>
            <w:rFonts w:ascii="Calibri" w:hAnsi="Calibri"/>
            <w:b w:val="0"/>
            <w:bCs w:val="0"/>
            <w:noProof/>
            <w:sz w:val="22"/>
            <w:szCs w:val="22"/>
          </w:rPr>
          <w:tab/>
        </w:r>
        <w:r w:rsidR="002A16BD" w:rsidRPr="004626E5">
          <w:rPr>
            <w:rStyle w:val="Hyperlink"/>
            <w:noProof/>
          </w:rPr>
          <w:t>Ratepayers’ Position</w:t>
        </w:r>
        <w:r w:rsidR="002A16BD">
          <w:rPr>
            <w:noProof/>
            <w:webHidden/>
          </w:rPr>
          <w:tab/>
        </w:r>
        <w:r w:rsidR="002A16BD">
          <w:rPr>
            <w:noProof/>
            <w:webHidden/>
          </w:rPr>
          <w:fldChar w:fldCharType="begin"/>
        </w:r>
        <w:r w:rsidR="002A16BD">
          <w:rPr>
            <w:noProof/>
            <w:webHidden/>
          </w:rPr>
          <w:instrText xml:space="preserve"> PAGEREF _Toc140498324 \h </w:instrText>
        </w:r>
        <w:r w:rsidR="002A16BD">
          <w:rPr>
            <w:noProof/>
            <w:webHidden/>
          </w:rPr>
        </w:r>
        <w:r w:rsidR="002A16BD">
          <w:rPr>
            <w:noProof/>
            <w:webHidden/>
          </w:rPr>
          <w:fldChar w:fldCharType="separate"/>
        </w:r>
        <w:r w:rsidR="0065465C">
          <w:rPr>
            <w:noProof/>
            <w:webHidden/>
          </w:rPr>
          <w:t>10</w:t>
        </w:r>
        <w:r w:rsidR="002A16BD">
          <w:rPr>
            <w:noProof/>
            <w:webHidden/>
          </w:rPr>
          <w:fldChar w:fldCharType="end"/>
        </w:r>
      </w:hyperlink>
    </w:p>
    <w:p w14:paraId="6F7ABE4E" w14:textId="11EA8E2D"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25" w:history="1">
        <w:r w:rsidR="002A16BD" w:rsidRPr="004626E5">
          <w:rPr>
            <w:rStyle w:val="Hyperlink"/>
            <w:noProof/>
          </w:rPr>
          <w:t>3.</w:t>
        </w:r>
        <w:r w:rsidR="002A16BD" w:rsidRPr="00E11327">
          <w:rPr>
            <w:rFonts w:ascii="Calibri" w:hAnsi="Calibri"/>
            <w:b w:val="0"/>
            <w:bCs w:val="0"/>
            <w:noProof/>
            <w:sz w:val="22"/>
            <w:szCs w:val="22"/>
          </w:rPr>
          <w:tab/>
        </w:r>
        <w:r w:rsidR="002A16BD" w:rsidRPr="004626E5">
          <w:rPr>
            <w:rStyle w:val="Hyperlink"/>
            <w:noProof/>
          </w:rPr>
          <w:t>Windermere’s Position</w:t>
        </w:r>
        <w:r w:rsidR="002A16BD">
          <w:rPr>
            <w:noProof/>
            <w:webHidden/>
          </w:rPr>
          <w:tab/>
        </w:r>
        <w:r w:rsidR="002A16BD">
          <w:rPr>
            <w:noProof/>
            <w:webHidden/>
          </w:rPr>
          <w:fldChar w:fldCharType="begin"/>
        </w:r>
        <w:r w:rsidR="002A16BD">
          <w:rPr>
            <w:noProof/>
            <w:webHidden/>
          </w:rPr>
          <w:instrText xml:space="preserve"> PAGEREF _Toc140498325 \h </w:instrText>
        </w:r>
        <w:r w:rsidR="002A16BD">
          <w:rPr>
            <w:noProof/>
            <w:webHidden/>
          </w:rPr>
        </w:r>
        <w:r w:rsidR="002A16BD">
          <w:rPr>
            <w:noProof/>
            <w:webHidden/>
          </w:rPr>
          <w:fldChar w:fldCharType="separate"/>
        </w:r>
        <w:r w:rsidR="0065465C">
          <w:rPr>
            <w:noProof/>
            <w:webHidden/>
          </w:rPr>
          <w:t>10</w:t>
        </w:r>
        <w:r w:rsidR="002A16BD">
          <w:rPr>
            <w:noProof/>
            <w:webHidden/>
          </w:rPr>
          <w:fldChar w:fldCharType="end"/>
        </w:r>
      </w:hyperlink>
    </w:p>
    <w:p w14:paraId="52E3A3E1" w14:textId="038EA97B"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26" w:history="1">
        <w:r w:rsidR="002A16BD" w:rsidRPr="004626E5">
          <w:rPr>
            <w:rStyle w:val="Hyperlink"/>
            <w:noProof/>
          </w:rPr>
          <w:t>4.</w:t>
        </w:r>
        <w:r w:rsidR="002A16BD" w:rsidRPr="00E11327">
          <w:rPr>
            <w:rFonts w:ascii="Calibri" w:hAnsi="Calibri"/>
            <w:b w:val="0"/>
            <w:bCs w:val="0"/>
            <w:noProof/>
            <w:sz w:val="22"/>
            <w:szCs w:val="22"/>
          </w:rPr>
          <w:tab/>
        </w:r>
        <w:r w:rsidR="002A16BD" w:rsidRPr="004626E5">
          <w:rPr>
            <w:rStyle w:val="Hyperlink"/>
            <w:noProof/>
          </w:rPr>
          <w:t>Analysis</w:t>
        </w:r>
        <w:r w:rsidR="002A16BD">
          <w:rPr>
            <w:noProof/>
            <w:webHidden/>
          </w:rPr>
          <w:tab/>
        </w:r>
        <w:r w:rsidR="002A16BD">
          <w:rPr>
            <w:noProof/>
            <w:webHidden/>
          </w:rPr>
          <w:fldChar w:fldCharType="begin"/>
        </w:r>
        <w:r w:rsidR="002A16BD">
          <w:rPr>
            <w:noProof/>
            <w:webHidden/>
          </w:rPr>
          <w:instrText xml:space="preserve"> PAGEREF _Toc140498326 \h </w:instrText>
        </w:r>
        <w:r w:rsidR="002A16BD">
          <w:rPr>
            <w:noProof/>
            <w:webHidden/>
          </w:rPr>
        </w:r>
        <w:r w:rsidR="002A16BD">
          <w:rPr>
            <w:noProof/>
            <w:webHidden/>
          </w:rPr>
          <w:fldChar w:fldCharType="separate"/>
        </w:r>
        <w:r w:rsidR="0065465C">
          <w:rPr>
            <w:noProof/>
            <w:webHidden/>
          </w:rPr>
          <w:t>10</w:t>
        </w:r>
        <w:r w:rsidR="002A16BD">
          <w:rPr>
            <w:noProof/>
            <w:webHidden/>
          </w:rPr>
          <w:fldChar w:fldCharType="end"/>
        </w:r>
      </w:hyperlink>
    </w:p>
    <w:p w14:paraId="0212DE29" w14:textId="4A2776B4" w:rsidR="002A16BD" w:rsidRPr="00E11327" w:rsidRDefault="00507691" w:rsidP="00432B8A">
      <w:pPr>
        <w:pStyle w:val="TOC2"/>
        <w:tabs>
          <w:tab w:val="left" w:pos="1440"/>
          <w:tab w:val="right" w:leader="dot" w:pos="9350"/>
        </w:tabs>
        <w:spacing w:before="0" w:line="360" w:lineRule="auto"/>
        <w:ind w:left="1080"/>
        <w:rPr>
          <w:rFonts w:ascii="Calibri" w:hAnsi="Calibri"/>
          <w:b w:val="0"/>
          <w:bCs w:val="0"/>
          <w:noProof/>
          <w:sz w:val="22"/>
          <w:szCs w:val="22"/>
        </w:rPr>
      </w:pPr>
      <w:hyperlink w:anchor="_Toc140498327" w:history="1">
        <w:r w:rsidR="002A16BD" w:rsidRPr="004626E5">
          <w:rPr>
            <w:rStyle w:val="Hyperlink"/>
            <w:noProof/>
          </w:rPr>
          <w:t>a.</w:t>
        </w:r>
        <w:r w:rsidR="002A16BD" w:rsidRPr="00E11327">
          <w:rPr>
            <w:rFonts w:ascii="Calibri" w:hAnsi="Calibri"/>
            <w:b w:val="0"/>
            <w:bCs w:val="0"/>
            <w:noProof/>
            <w:sz w:val="22"/>
            <w:szCs w:val="22"/>
          </w:rPr>
          <w:tab/>
        </w:r>
        <w:r w:rsidR="002A16BD" w:rsidRPr="004626E5">
          <w:rPr>
            <w:rStyle w:val="Hyperlink"/>
            <w:noProof/>
          </w:rPr>
          <w:t>Legal Expenses</w:t>
        </w:r>
        <w:r w:rsidR="002A16BD">
          <w:rPr>
            <w:noProof/>
            <w:webHidden/>
          </w:rPr>
          <w:tab/>
        </w:r>
        <w:r w:rsidR="002A16BD">
          <w:rPr>
            <w:noProof/>
            <w:webHidden/>
          </w:rPr>
          <w:fldChar w:fldCharType="begin"/>
        </w:r>
        <w:r w:rsidR="002A16BD">
          <w:rPr>
            <w:noProof/>
            <w:webHidden/>
          </w:rPr>
          <w:instrText xml:space="preserve"> PAGEREF _Toc140498327 \h </w:instrText>
        </w:r>
        <w:r w:rsidR="002A16BD">
          <w:rPr>
            <w:noProof/>
            <w:webHidden/>
          </w:rPr>
        </w:r>
        <w:r w:rsidR="002A16BD">
          <w:rPr>
            <w:noProof/>
            <w:webHidden/>
          </w:rPr>
          <w:fldChar w:fldCharType="separate"/>
        </w:r>
        <w:r w:rsidR="0065465C">
          <w:rPr>
            <w:noProof/>
            <w:webHidden/>
          </w:rPr>
          <w:t>10</w:t>
        </w:r>
        <w:r w:rsidR="002A16BD">
          <w:rPr>
            <w:noProof/>
            <w:webHidden/>
          </w:rPr>
          <w:fldChar w:fldCharType="end"/>
        </w:r>
      </w:hyperlink>
    </w:p>
    <w:p w14:paraId="28E18231" w14:textId="46C5386F" w:rsidR="002A16BD" w:rsidRPr="00E11327" w:rsidRDefault="00507691" w:rsidP="00432B8A">
      <w:pPr>
        <w:pStyle w:val="TOC2"/>
        <w:tabs>
          <w:tab w:val="left" w:pos="1440"/>
          <w:tab w:val="right" w:leader="dot" w:pos="9350"/>
        </w:tabs>
        <w:spacing w:before="0" w:line="360" w:lineRule="auto"/>
        <w:ind w:left="1080"/>
        <w:rPr>
          <w:rFonts w:ascii="Calibri" w:hAnsi="Calibri"/>
          <w:b w:val="0"/>
          <w:bCs w:val="0"/>
          <w:noProof/>
          <w:sz w:val="22"/>
          <w:szCs w:val="22"/>
        </w:rPr>
      </w:pPr>
      <w:hyperlink w:anchor="_Toc140498328" w:history="1">
        <w:r w:rsidR="002A16BD" w:rsidRPr="004626E5">
          <w:rPr>
            <w:rStyle w:val="Hyperlink"/>
            <w:noProof/>
          </w:rPr>
          <w:t>b.</w:t>
        </w:r>
        <w:r w:rsidR="002A16BD" w:rsidRPr="00E11327">
          <w:rPr>
            <w:rFonts w:ascii="Calibri" w:hAnsi="Calibri"/>
            <w:b w:val="0"/>
            <w:bCs w:val="0"/>
            <w:noProof/>
            <w:sz w:val="22"/>
            <w:szCs w:val="22"/>
          </w:rPr>
          <w:tab/>
        </w:r>
        <w:r w:rsidR="002A16BD" w:rsidRPr="004626E5">
          <w:rPr>
            <w:rStyle w:val="Hyperlink"/>
            <w:noProof/>
          </w:rPr>
          <w:t>Other Revenues</w:t>
        </w:r>
        <w:r w:rsidR="002A16BD">
          <w:rPr>
            <w:noProof/>
            <w:webHidden/>
          </w:rPr>
          <w:tab/>
        </w:r>
        <w:r w:rsidR="002A16BD">
          <w:rPr>
            <w:noProof/>
            <w:webHidden/>
          </w:rPr>
          <w:fldChar w:fldCharType="begin"/>
        </w:r>
        <w:r w:rsidR="002A16BD">
          <w:rPr>
            <w:noProof/>
            <w:webHidden/>
          </w:rPr>
          <w:instrText xml:space="preserve"> PAGEREF _Toc140498328 \h </w:instrText>
        </w:r>
        <w:r w:rsidR="002A16BD">
          <w:rPr>
            <w:noProof/>
            <w:webHidden/>
          </w:rPr>
        </w:r>
        <w:r w:rsidR="002A16BD">
          <w:rPr>
            <w:noProof/>
            <w:webHidden/>
          </w:rPr>
          <w:fldChar w:fldCharType="separate"/>
        </w:r>
        <w:r w:rsidR="0065465C">
          <w:rPr>
            <w:noProof/>
            <w:webHidden/>
          </w:rPr>
          <w:t>17</w:t>
        </w:r>
        <w:r w:rsidR="002A16BD">
          <w:rPr>
            <w:noProof/>
            <w:webHidden/>
          </w:rPr>
          <w:fldChar w:fldCharType="end"/>
        </w:r>
      </w:hyperlink>
    </w:p>
    <w:p w14:paraId="6E4C6D96" w14:textId="47EF261A" w:rsidR="002A16BD" w:rsidRPr="00E11327" w:rsidRDefault="00507691" w:rsidP="00CB01BC">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29" w:history="1">
        <w:r w:rsidR="002A16BD" w:rsidRPr="004626E5">
          <w:rPr>
            <w:rStyle w:val="Hyperlink"/>
            <w:noProof/>
          </w:rPr>
          <w:t>E.</w:t>
        </w:r>
        <w:r w:rsidR="002A16BD" w:rsidRPr="00E11327">
          <w:rPr>
            <w:rFonts w:ascii="Calibri" w:hAnsi="Calibri"/>
            <w:b w:val="0"/>
            <w:bCs w:val="0"/>
            <w:noProof/>
            <w:sz w:val="22"/>
            <w:szCs w:val="22"/>
          </w:rPr>
          <w:tab/>
        </w:r>
        <w:r w:rsidR="002A16BD" w:rsidRPr="004626E5">
          <w:rPr>
            <w:rStyle w:val="Hyperlink"/>
            <w:noProof/>
          </w:rPr>
          <w:t>Methodology for Calculating Rates</w:t>
        </w:r>
        <w:r w:rsidR="002A16BD">
          <w:rPr>
            <w:noProof/>
            <w:webHidden/>
          </w:rPr>
          <w:tab/>
        </w:r>
        <w:r w:rsidR="002A16BD">
          <w:rPr>
            <w:noProof/>
            <w:webHidden/>
          </w:rPr>
          <w:fldChar w:fldCharType="begin"/>
        </w:r>
        <w:r w:rsidR="002A16BD">
          <w:rPr>
            <w:noProof/>
            <w:webHidden/>
          </w:rPr>
          <w:instrText xml:space="preserve"> PAGEREF _Toc140498329 \h </w:instrText>
        </w:r>
        <w:r w:rsidR="002A16BD">
          <w:rPr>
            <w:noProof/>
            <w:webHidden/>
          </w:rPr>
        </w:r>
        <w:r w:rsidR="002A16BD">
          <w:rPr>
            <w:noProof/>
            <w:webHidden/>
          </w:rPr>
          <w:fldChar w:fldCharType="separate"/>
        </w:r>
        <w:r w:rsidR="0065465C">
          <w:rPr>
            <w:noProof/>
            <w:webHidden/>
          </w:rPr>
          <w:t>19</w:t>
        </w:r>
        <w:r w:rsidR="002A16BD">
          <w:rPr>
            <w:noProof/>
            <w:webHidden/>
          </w:rPr>
          <w:fldChar w:fldCharType="end"/>
        </w:r>
      </w:hyperlink>
    </w:p>
    <w:p w14:paraId="051517E5" w14:textId="51FDA84F" w:rsidR="002A16BD" w:rsidRPr="00E11327" w:rsidRDefault="00507691" w:rsidP="00CB01BC">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30" w:history="1">
        <w:r w:rsidR="002A16BD" w:rsidRPr="004626E5">
          <w:rPr>
            <w:rStyle w:val="Hyperlink"/>
            <w:noProof/>
          </w:rPr>
          <w:t>F.</w:t>
        </w:r>
        <w:r w:rsidR="002A16BD" w:rsidRPr="00E11327">
          <w:rPr>
            <w:rFonts w:ascii="Calibri" w:hAnsi="Calibri"/>
            <w:b w:val="0"/>
            <w:bCs w:val="0"/>
            <w:noProof/>
            <w:sz w:val="22"/>
            <w:szCs w:val="22"/>
          </w:rPr>
          <w:tab/>
        </w:r>
        <w:r w:rsidR="002A16BD" w:rsidRPr="004626E5">
          <w:rPr>
            <w:rStyle w:val="Hyperlink"/>
            <w:noProof/>
          </w:rPr>
          <w:t>Other Revenue Sources</w:t>
        </w:r>
        <w:r w:rsidR="002A16BD">
          <w:rPr>
            <w:noProof/>
            <w:webHidden/>
          </w:rPr>
          <w:tab/>
        </w:r>
        <w:r w:rsidR="002A16BD">
          <w:rPr>
            <w:noProof/>
            <w:webHidden/>
          </w:rPr>
          <w:fldChar w:fldCharType="begin"/>
        </w:r>
        <w:r w:rsidR="002A16BD">
          <w:rPr>
            <w:noProof/>
            <w:webHidden/>
          </w:rPr>
          <w:instrText xml:space="preserve"> PAGEREF _Toc140498330 \h </w:instrText>
        </w:r>
        <w:r w:rsidR="002A16BD">
          <w:rPr>
            <w:noProof/>
            <w:webHidden/>
          </w:rPr>
        </w:r>
        <w:r w:rsidR="002A16BD">
          <w:rPr>
            <w:noProof/>
            <w:webHidden/>
          </w:rPr>
          <w:fldChar w:fldCharType="separate"/>
        </w:r>
        <w:r w:rsidR="0065465C">
          <w:rPr>
            <w:noProof/>
            <w:webHidden/>
          </w:rPr>
          <w:t>20</w:t>
        </w:r>
        <w:r w:rsidR="002A16BD">
          <w:rPr>
            <w:noProof/>
            <w:webHidden/>
          </w:rPr>
          <w:fldChar w:fldCharType="end"/>
        </w:r>
      </w:hyperlink>
    </w:p>
    <w:p w14:paraId="15425E2C" w14:textId="1C2AC3A2"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31" w:history="1">
        <w:r w:rsidR="002A16BD" w:rsidRPr="004626E5">
          <w:rPr>
            <w:rStyle w:val="Hyperlink"/>
            <w:noProof/>
          </w:rPr>
          <w:t>1.</w:t>
        </w:r>
        <w:r w:rsidR="002A16BD" w:rsidRPr="00E11327">
          <w:rPr>
            <w:rFonts w:ascii="Calibri" w:hAnsi="Calibri"/>
            <w:b w:val="0"/>
            <w:bCs w:val="0"/>
            <w:noProof/>
            <w:sz w:val="22"/>
            <w:szCs w:val="22"/>
          </w:rPr>
          <w:tab/>
        </w:r>
        <w:r w:rsidR="002A16BD" w:rsidRPr="004626E5">
          <w:rPr>
            <w:rStyle w:val="Hyperlink"/>
            <w:noProof/>
          </w:rPr>
          <w:t>Staff’s Position</w:t>
        </w:r>
        <w:r w:rsidR="002A16BD">
          <w:rPr>
            <w:noProof/>
            <w:webHidden/>
          </w:rPr>
          <w:tab/>
        </w:r>
        <w:r w:rsidR="002A16BD">
          <w:rPr>
            <w:noProof/>
            <w:webHidden/>
          </w:rPr>
          <w:fldChar w:fldCharType="begin"/>
        </w:r>
        <w:r w:rsidR="002A16BD">
          <w:rPr>
            <w:noProof/>
            <w:webHidden/>
          </w:rPr>
          <w:instrText xml:space="preserve"> PAGEREF _Toc140498331 \h </w:instrText>
        </w:r>
        <w:r w:rsidR="002A16BD">
          <w:rPr>
            <w:noProof/>
            <w:webHidden/>
          </w:rPr>
        </w:r>
        <w:r w:rsidR="002A16BD">
          <w:rPr>
            <w:noProof/>
            <w:webHidden/>
          </w:rPr>
          <w:fldChar w:fldCharType="separate"/>
        </w:r>
        <w:r w:rsidR="0065465C">
          <w:rPr>
            <w:noProof/>
            <w:webHidden/>
          </w:rPr>
          <w:t>20</w:t>
        </w:r>
        <w:r w:rsidR="002A16BD">
          <w:rPr>
            <w:noProof/>
            <w:webHidden/>
          </w:rPr>
          <w:fldChar w:fldCharType="end"/>
        </w:r>
      </w:hyperlink>
    </w:p>
    <w:p w14:paraId="2E237762" w14:textId="228185EE"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32" w:history="1">
        <w:r w:rsidR="002A16BD" w:rsidRPr="004626E5">
          <w:rPr>
            <w:rStyle w:val="Hyperlink"/>
            <w:noProof/>
          </w:rPr>
          <w:t>2.</w:t>
        </w:r>
        <w:r w:rsidR="002A16BD" w:rsidRPr="00E11327">
          <w:rPr>
            <w:rFonts w:ascii="Calibri" w:hAnsi="Calibri"/>
            <w:b w:val="0"/>
            <w:bCs w:val="0"/>
            <w:noProof/>
            <w:sz w:val="22"/>
            <w:szCs w:val="22"/>
          </w:rPr>
          <w:tab/>
        </w:r>
        <w:r w:rsidR="002A16BD" w:rsidRPr="004626E5">
          <w:rPr>
            <w:rStyle w:val="Hyperlink"/>
            <w:noProof/>
          </w:rPr>
          <w:t>Windermere’s Position</w:t>
        </w:r>
        <w:r w:rsidR="002A16BD">
          <w:rPr>
            <w:noProof/>
            <w:webHidden/>
          </w:rPr>
          <w:tab/>
        </w:r>
        <w:r w:rsidR="002A16BD">
          <w:rPr>
            <w:noProof/>
            <w:webHidden/>
          </w:rPr>
          <w:fldChar w:fldCharType="begin"/>
        </w:r>
        <w:r w:rsidR="002A16BD">
          <w:rPr>
            <w:noProof/>
            <w:webHidden/>
          </w:rPr>
          <w:instrText xml:space="preserve"> PAGEREF _Toc140498332 \h </w:instrText>
        </w:r>
        <w:r w:rsidR="002A16BD">
          <w:rPr>
            <w:noProof/>
            <w:webHidden/>
          </w:rPr>
        </w:r>
        <w:r w:rsidR="002A16BD">
          <w:rPr>
            <w:noProof/>
            <w:webHidden/>
          </w:rPr>
          <w:fldChar w:fldCharType="separate"/>
        </w:r>
        <w:r w:rsidR="0065465C">
          <w:rPr>
            <w:noProof/>
            <w:webHidden/>
          </w:rPr>
          <w:t>22</w:t>
        </w:r>
        <w:r w:rsidR="002A16BD">
          <w:rPr>
            <w:noProof/>
            <w:webHidden/>
          </w:rPr>
          <w:fldChar w:fldCharType="end"/>
        </w:r>
      </w:hyperlink>
    </w:p>
    <w:p w14:paraId="21A7A353" w14:textId="1D3EEA2B" w:rsidR="002A16BD" w:rsidRPr="00E11327" w:rsidRDefault="00507691" w:rsidP="00432B8A">
      <w:pPr>
        <w:pStyle w:val="TOC2"/>
        <w:tabs>
          <w:tab w:val="left" w:pos="1440"/>
          <w:tab w:val="right" w:leader="dot" w:pos="9350"/>
        </w:tabs>
        <w:spacing w:before="0" w:line="360" w:lineRule="auto"/>
        <w:ind w:left="1080"/>
        <w:rPr>
          <w:rFonts w:ascii="Calibri" w:hAnsi="Calibri"/>
          <w:b w:val="0"/>
          <w:bCs w:val="0"/>
          <w:noProof/>
          <w:sz w:val="22"/>
          <w:szCs w:val="22"/>
        </w:rPr>
      </w:pPr>
      <w:hyperlink w:anchor="_Toc140498333" w:history="1">
        <w:r w:rsidR="002A16BD" w:rsidRPr="004626E5">
          <w:rPr>
            <w:rStyle w:val="Hyperlink"/>
            <w:noProof/>
          </w:rPr>
          <w:t>a.</w:t>
        </w:r>
        <w:r w:rsidR="002A16BD" w:rsidRPr="00E11327">
          <w:rPr>
            <w:rFonts w:ascii="Calibri" w:hAnsi="Calibri"/>
            <w:b w:val="0"/>
            <w:bCs w:val="0"/>
            <w:noProof/>
            <w:sz w:val="22"/>
            <w:szCs w:val="22"/>
          </w:rPr>
          <w:tab/>
        </w:r>
        <w:r w:rsidR="002A16BD" w:rsidRPr="004626E5">
          <w:rPr>
            <w:rStyle w:val="Hyperlink"/>
            <w:noProof/>
          </w:rPr>
          <w:t>Analysis</w:t>
        </w:r>
        <w:r w:rsidR="002A16BD">
          <w:rPr>
            <w:noProof/>
            <w:webHidden/>
          </w:rPr>
          <w:tab/>
        </w:r>
        <w:r w:rsidR="002A16BD">
          <w:rPr>
            <w:noProof/>
            <w:webHidden/>
          </w:rPr>
          <w:fldChar w:fldCharType="begin"/>
        </w:r>
        <w:r w:rsidR="002A16BD">
          <w:rPr>
            <w:noProof/>
            <w:webHidden/>
          </w:rPr>
          <w:instrText xml:space="preserve"> PAGEREF _Toc140498333 \h </w:instrText>
        </w:r>
        <w:r w:rsidR="002A16BD">
          <w:rPr>
            <w:noProof/>
            <w:webHidden/>
          </w:rPr>
        </w:r>
        <w:r w:rsidR="002A16BD">
          <w:rPr>
            <w:noProof/>
            <w:webHidden/>
          </w:rPr>
          <w:fldChar w:fldCharType="separate"/>
        </w:r>
        <w:r w:rsidR="0065465C">
          <w:rPr>
            <w:noProof/>
            <w:webHidden/>
          </w:rPr>
          <w:t>23</w:t>
        </w:r>
        <w:r w:rsidR="002A16BD">
          <w:rPr>
            <w:noProof/>
            <w:webHidden/>
          </w:rPr>
          <w:fldChar w:fldCharType="end"/>
        </w:r>
      </w:hyperlink>
    </w:p>
    <w:p w14:paraId="37316DE3" w14:textId="4C4546BB"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34" w:history="1">
        <w:r w:rsidR="002A16BD" w:rsidRPr="004626E5">
          <w:rPr>
            <w:rStyle w:val="Hyperlink"/>
            <w:noProof/>
          </w:rPr>
          <w:t>3.</w:t>
        </w:r>
        <w:r w:rsidR="002A16BD" w:rsidRPr="00E11327">
          <w:rPr>
            <w:rFonts w:ascii="Calibri" w:hAnsi="Calibri"/>
            <w:b w:val="0"/>
            <w:bCs w:val="0"/>
            <w:noProof/>
            <w:sz w:val="22"/>
            <w:szCs w:val="22"/>
          </w:rPr>
          <w:tab/>
        </w:r>
        <w:r w:rsidR="002A16BD" w:rsidRPr="004626E5">
          <w:rPr>
            <w:rStyle w:val="Hyperlink"/>
            <w:noProof/>
          </w:rPr>
          <w:t>Rate Design and Allocation</w:t>
        </w:r>
        <w:r w:rsidR="002A16BD">
          <w:rPr>
            <w:noProof/>
            <w:webHidden/>
          </w:rPr>
          <w:tab/>
        </w:r>
        <w:r w:rsidR="002A16BD">
          <w:rPr>
            <w:noProof/>
            <w:webHidden/>
          </w:rPr>
          <w:fldChar w:fldCharType="begin"/>
        </w:r>
        <w:r w:rsidR="002A16BD">
          <w:rPr>
            <w:noProof/>
            <w:webHidden/>
          </w:rPr>
          <w:instrText xml:space="preserve"> PAGEREF _Toc140498334 \h </w:instrText>
        </w:r>
        <w:r w:rsidR="002A16BD">
          <w:rPr>
            <w:noProof/>
            <w:webHidden/>
          </w:rPr>
        </w:r>
        <w:r w:rsidR="002A16BD">
          <w:rPr>
            <w:noProof/>
            <w:webHidden/>
          </w:rPr>
          <w:fldChar w:fldCharType="separate"/>
        </w:r>
        <w:r w:rsidR="0065465C">
          <w:rPr>
            <w:noProof/>
            <w:webHidden/>
          </w:rPr>
          <w:t>25</w:t>
        </w:r>
        <w:r w:rsidR="002A16BD">
          <w:rPr>
            <w:noProof/>
            <w:webHidden/>
          </w:rPr>
          <w:fldChar w:fldCharType="end"/>
        </w:r>
      </w:hyperlink>
    </w:p>
    <w:p w14:paraId="7E5162EB" w14:textId="4ADEFA39" w:rsidR="002A16BD" w:rsidRPr="00E11327" w:rsidRDefault="00507691" w:rsidP="00432B8A">
      <w:pPr>
        <w:pStyle w:val="TOC2"/>
        <w:tabs>
          <w:tab w:val="left" w:pos="1440"/>
          <w:tab w:val="right" w:leader="dot" w:pos="9350"/>
        </w:tabs>
        <w:spacing w:before="0" w:line="360" w:lineRule="auto"/>
        <w:ind w:left="1080"/>
        <w:rPr>
          <w:rFonts w:ascii="Calibri" w:hAnsi="Calibri"/>
          <w:b w:val="0"/>
          <w:bCs w:val="0"/>
          <w:noProof/>
          <w:sz w:val="22"/>
          <w:szCs w:val="22"/>
        </w:rPr>
      </w:pPr>
      <w:hyperlink w:anchor="_Toc140498335" w:history="1">
        <w:r w:rsidR="002A16BD" w:rsidRPr="004626E5">
          <w:rPr>
            <w:rStyle w:val="Hyperlink"/>
            <w:noProof/>
          </w:rPr>
          <w:t>a.</w:t>
        </w:r>
        <w:r w:rsidR="002A16BD" w:rsidRPr="00E11327">
          <w:rPr>
            <w:rFonts w:ascii="Calibri" w:hAnsi="Calibri"/>
            <w:b w:val="0"/>
            <w:bCs w:val="0"/>
            <w:noProof/>
            <w:sz w:val="22"/>
            <w:szCs w:val="22"/>
          </w:rPr>
          <w:tab/>
        </w:r>
        <w:r w:rsidR="002A16BD" w:rsidRPr="004626E5">
          <w:rPr>
            <w:rStyle w:val="Hyperlink"/>
            <w:noProof/>
          </w:rPr>
          <w:t>Staff’s Position</w:t>
        </w:r>
        <w:r w:rsidR="002A16BD">
          <w:rPr>
            <w:noProof/>
            <w:webHidden/>
          </w:rPr>
          <w:tab/>
        </w:r>
        <w:r w:rsidR="002A16BD">
          <w:rPr>
            <w:noProof/>
            <w:webHidden/>
          </w:rPr>
          <w:fldChar w:fldCharType="begin"/>
        </w:r>
        <w:r w:rsidR="002A16BD">
          <w:rPr>
            <w:noProof/>
            <w:webHidden/>
          </w:rPr>
          <w:instrText xml:space="preserve"> PAGEREF _Toc140498335 \h </w:instrText>
        </w:r>
        <w:r w:rsidR="002A16BD">
          <w:rPr>
            <w:noProof/>
            <w:webHidden/>
          </w:rPr>
        </w:r>
        <w:r w:rsidR="002A16BD">
          <w:rPr>
            <w:noProof/>
            <w:webHidden/>
          </w:rPr>
          <w:fldChar w:fldCharType="separate"/>
        </w:r>
        <w:r w:rsidR="0065465C">
          <w:rPr>
            <w:noProof/>
            <w:webHidden/>
          </w:rPr>
          <w:t>25</w:t>
        </w:r>
        <w:r w:rsidR="002A16BD">
          <w:rPr>
            <w:noProof/>
            <w:webHidden/>
          </w:rPr>
          <w:fldChar w:fldCharType="end"/>
        </w:r>
      </w:hyperlink>
    </w:p>
    <w:p w14:paraId="134CE030" w14:textId="0C5DAACB" w:rsidR="002A16BD" w:rsidRPr="00E11327" w:rsidRDefault="00507691" w:rsidP="00432B8A">
      <w:pPr>
        <w:pStyle w:val="TOC2"/>
        <w:tabs>
          <w:tab w:val="left" w:pos="1440"/>
          <w:tab w:val="right" w:leader="dot" w:pos="9350"/>
        </w:tabs>
        <w:spacing w:before="0" w:line="360" w:lineRule="auto"/>
        <w:ind w:left="1080"/>
        <w:rPr>
          <w:rFonts w:ascii="Calibri" w:hAnsi="Calibri"/>
          <w:b w:val="0"/>
          <w:bCs w:val="0"/>
          <w:noProof/>
          <w:sz w:val="22"/>
          <w:szCs w:val="22"/>
        </w:rPr>
      </w:pPr>
      <w:hyperlink w:anchor="_Toc140498336" w:history="1">
        <w:r w:rsidR="002A16BD" w:rsidRPr="004626E5">
          <w:rPr>
            <w:rStyle w:val="Hyperlink"/>
            <w:noProof/>
          </w:rPr>
          <w:t>b.</w:t>
        </w:r>
        <w:r w:rsidR="002A16BD" w:rsidRPr="00E11327">
          <w:rPr>
            <w:rFonts w:ascii="Calibri" w:hAnsi="Calibri"/>
            <w:b w:val="0"/>
            <w:bCs w:val="0"/>
            <w:noProof/>
            <w:sz w:val="22"/>
            <w:szCs w:val="22"/>
          </w:rPr>
          <w:tab/>
        </w:r>
        <w:r w:rsidR="002A16BD" w:rsidRPr="004626E5">
          <w:rPr>
            <w:rStyle w:val="Hyperlink"/>
            <w:noProof/>
          </w:rPr>
          <w:t>Windermere’s Position</w:t>
        </w:r>
        <w:r w:rsidR="002A16BD">
          <w:rPr>
            <w:noProof/>
            <w:webHidden/>
          </w:rPr>
          <w:tab/>
        </w:r>
        <w:r w:rsidR="002A16BD">
          <w:rPr>
            <w:noProof/>
            <w:webHidden/>
          </w:rPr>
          <w:fldChar w:fldCharType="begin"/>
        </w:r>
        <w:r w:rsidR="002A16BD">
          <w:rPr>
            <w:noProof/>
            <w:webHidden/>
          </w:rPr>
          <w:instrText xml:space="preserve"> PAGEREF _Toc140498336 \h </w:instrText>
        </w:r>
        <w:r w:rsidR="002A16BD">
          <w:rPr>
            <w:noProof/>
            <w:webHidden/>
          </w:rPr>
        </w:r>
        <w:r w:rsidR="002A16BD">
          <w:rPr>
            <w:noProof/>
            <w:webHidden/>
          </w:rPr>
          <w:fldChar w:fldCharType="separate"/>
        </w:r>
        <w:r w:rsidR="0065465C">
          <w:rPr>
            <w:noProof/>
            <w:webHidden/>
          </w:rPr>
          <w:t>25</w:t>
        </w:r>
        <w:r w:rsidR="002A16BD">
          <w:rPr>
            <w:noProof/>
            <w:webHidden/>
          </w:rPr>
          <w:fldChar w:fldCharType="end"/>
        </w:r>
      </w:hyperlink>
    </w:p>
    <w:p w14:paraId="07414D02" w14:textId="13910BEF" w:rsidR="002A16BD" w:rsidRPr="00E11327" w:rsidRDefault="00507691" w:rsidP="00432B8A">
      <w:pPr>
        <w:pStyle w:val="TOC2"/>
        <w:tabs>
          <w:tab w:val="left" w:pos="1440"/>
          <w:tab w:val="right" w:leader="dot" w:pos="9350"/>
        </w:tabs>
        <w:spacing w:before="0" w:line="360" w:lineRule="auto"/>
        <w:ind w:left="1080"/>
        <w:rPr>
          <w:rFonts w:ascii="Calibri" w:hAnsi="Calibri"/>
          <w:b w:val="0"/>
          <w:bCs w:val="0"/>
          <w:noProof/>
          <w:sz w:val="22"/>
          <w:szCs w:val="22"/>
        </w:rPr>
      </w:pPr>
      <w:hyperlink w:anchor="_Toc140498337" w:history="1">
        <w:r w:rsidR="002A16BD" w:rsidRPr="004626E5">
          <w:rPr>
            <w:rStyle w:val="Hyperlink"/>
            <w:noProof/>
          </w:rPr>
          <w:t>c.</w:t>
        </w:r>
        <w:r w:rsidR="002A16BD" w:rsidRPr="00E11327">
          <w:rPr>
            <w:rFonts w:ascii="Calibri" w:hAnsi="Calibri"/>
            <w:b w:val="0"/>
            <w:bCs w:val="0"/>
            <w:noProof/>
            <w:sz w:val="22"/>
            <w:szCs w:val="22"/>
          </w:rPr>
          <w:tab/>
        </w:r>
        <w:r w:rsidR="002A16BD" w:rsidRPr="004626E5">
          <w:rPr>
            <w:rStyle w:val="Hyperlink"/>
            <w:noProof/>
          </w:rPr>
          <w:t>Analysis</w:t>
        </w:r>
        <w:r w:rsidR="002A16BD">
          <w:rPr>
            <w:noProof/>
            <w:webHidden/>
          </w:rPr>
          <w:tab/>
        </w:r>
        <w:r w:rsidR="002A16BD">
          <w:rPr>
            <w:noProof/>
            <w:webHidden/>
          </w:rPr>
          <w:fldChar w:fldCharType="begin"/>
        </w:r>
        <w:r w:rsidR="002A16BD">
          <w:rPr>
            <w:noProof/>
            <w:webHidden/>
          </w:rPr>
          <w:instrText xml:space="preserve"> PAGEREF _Toc140498337 \h </w:instrText>
        </w:r>
        <w:r w:rsidR="002A16BD">
          <w:rPr>
            <w:noProof/>
            <w:webHidden/>
          </w:rPr>
        </w:r>
        <w:r w:rsidR="002A16BD">
          <w:rPr>
            <w:noProof/>
            <w:webHidden/>
          </w:rPr>
          <w:fldChar w:fldCharType="separate"/>
        </w:r>
        <w:r w:rsidR="0065465C">
          <w:rPr>
            <w:noProof/>
            <w:webHidden/>
          </w:rPr>
          <w:t>25</w:t>
        </w:r>
        <w:r w:rsidR="002A16BD">
          <w:rPr>
            <w:noProof/>
            <w:webHidden/>
          </w:rPr>
          <w:fldChar w:fldCharType="end"/>
        </w:r>
      </w:hyperlink>
    </w:p>
    <w:p w14:paraId="6F3408B6" w14:textId="5542CA4D" w:rsidR="002A16BD" w:rsidRPr="00E11327" w:rsidRDefault="00507691" w:rsidP="00432B8A">
      <w:pPr>
        <w:pStyle w:val="TOC2"/>
        <w:tabs>
          <w:tab w:val="left" w:pos="720"/>
          <w:tab w:val="right" w:leader="dot" w:pos="9350"/>
        </w:tabs>
        <w:spacing w:before="0" w:line="360" w:lineRule="auto"/>
        <w:ind w:left="360"/>
        <w:rPr>
          <w:rFonts w:ascii="Calibri" w:hAnsi="Calibri"/>
          <w:b w:val="0"/>
          <w:bCs w:val="0"/>
          <w:noProof/>
          <w:sz w:val="22"/>
          <w:szCs w:val="22"/>
        </w:rPr>
      </w:pPr>
      <w:hyperlink w:anchor="_Toc140498338" w:history="1">
        <w:r w:rsidR="002A16BD" w:rsidRPr="004626E5">
          <w:rPr>
            <w:rStyle w:val="Hyperlink"/>
            <w:noProof/>
          </w:rPr>
          <w:t>G.</w:t>
        </w:r>
        <w:r w:rsidR="002A16BD" w:rsidRPr="00E11327">
          <w:rPr>
            <w:rFonts w:ascii="Calibri" w:hAnsi="Calibri"/>
            <w:b w:val="0"/>
            <w:bCs w:val="0"/>
            <w:noProof/>
            <w:sz w:val="22"/>
            <w:szCs w:val="22"/>
          </w:rPr>
          <w:tab/>
        </w:r>
        <w:r w:rsidR="002A16BD" w:rsidRPr="004626E5">
          <w:rPr>
            <w:rStyle w:val="Hyperlink"/>
            <w:noProof/>
          </w:rPr>
          <w:t>Rate Case Expenses</w:t>
        </w:r>
        <w:r w:rsidR="002A16BD">
          <w:rPr>
            <w:noProof/>
            <w:webHidden/>
          </w:rPr>
          <w:tab/>
        </w:r>
        <w:r w:rsidR="002A16BD">
          <w:rPr>
            <w:noProof/>
            <w:webHidden/>
          </w:rPr>
          <w:fldChar w:fldCharType="begin"/>
        </w:r>
        <w:r w:rsidR="002A16BD">
          <w:rPr>
            <w:noProof/>
            <w:webHidden/>
          </w:rPr>
          <w:instrText xml:space="preserve"> PAGEREF _Toc140498338 \h </w:instrText>
        </w:r>
        <w:r w:rsidR="002A16BD">
          <w:rPr>
            <w:noProof/>
            <w:webHidden/>
          </w:rPr>
        </w:r>
        <w:r w:rsidR="002A16BD">
          <w:rPr>
            <w:noProof/>
            <w:webHidden/>
          </w:rPr>
          <w:fldChar w:fldCharType="separate"/>
        </w:r>
        <w:r w:rsidR="0065465C">
          <w:rPr>
            <w:noProof/>
            <w:webHidden/>
          </w:rPr>
          <w:t>26</w:t>
        </w:r>
        <w:r w:rsidR="002A16BD">
          <w:rPr>
            <w:noProof/>
            <w:webHidden/>
          </w:rPr>
          <w:fldChar w:fldCharType="end"/>
        </w:r>
      </w:hyperlink>
    </w:p>
    <w:p w14:paraId="3A3F16CB" w14:textId="0AFE6F33" w:rsidR="002A16BD" w:rsidRPr="00E11327" w:rsidRDefault="00507691" w:rsidP="00432B8A">
      <w:pPr>
        <w:pStyle w:val="TOC2"/>
        <w:tabs>
          <w:tab w:val="left" w:pos="1080"/>
          <w:tab w:val="right" w:leader="dot" w:pos="9350"/>
        </w:tabs>
        <w:spacing w:before="0" w:line="360" w:lineRule="auto"/>
        <w:ind w:left="720"/>
        <w:rPr>
          <w:rFonts w:ascii="Calibri" w:hAnsi="Calibri"/>
          <w:b w:val="0"/>
          <w:bCs w:val="0"/>
          <w:noProof/>
          <w:sz w:val="22"/>
          <w:szCs w:val="22"/>
        </w:rPr>
      </w:pPr>
      <w:hyperlink w:anchor="_Toc140498339" w:history="1">
        <w:r w:rsidR="002A16BD" w:rsidRPr="004626E5">
          <w:rPr>
            <w:rStyle w:val="Hyperlink"/>
            <w:noProof/>
          </w:rPr>
          <w:t>1.</w:t>
        </w:r>
        <w:r w:rsidR="002A16BD" w:rsidRPr="00E11327">
          <w:rPr>
            <w:rFonts w:ascii="Calibri" w:hAnsi="Calibri"/>
            <w:b w:val="0"/>
            <w:bCs w:val="0"/>
            <w:noProof/>
            <w:sz w:val="22"/>
            <w:szCs w:val="22"/>
          </w:rPr>
          <w:tab/>
        </w:r>
        <w:r w:rsidR="002A16BD" w:rsidRPr="004626E5">
          <w:rPr>
            <w:rStyle w:val="Hyperlink"/>
            <w:noProof/>
          </w:rPr>
          <w:t>Recovery Mechanism</w:t>
        </w:r>
        <w:r w:rsidR="002A16BD">
          <w:rPr>
            <w:noProof/>
            <w:webHidden/>
          </w:rPr>
          <w:tab/>
        </w:r>
        <w:r w:rsidR="002A16BD">
          <w:rPr>
            <w:noProof/>
            <w:webHidden/>
          </w:rPr>
          <w:fldChar w:fldCharType="begin"/>
        </w:r>
        <w:r w:rsidR="002A16BD">
          <w:rPr>
            <w:noProof/>
            <w:webHidden/>
          </w:rPr>
          <w:instrText xml:space="preserve"> PAGEREF _Toc140498339 \h </w:instrText>
        </w:r>
        <w:r w:rsidR="002A16BD">
          <w:rPr>
            <w:noProof/>
            <w:webHidden/>
          </w:rPr>
        </w:r>
        <w:r w:rsidR="002A16BD">
          <w:rPr>
            <w:noProof/>
            <w:webHidden/>
          </w:rPr>
          <w:fldChar w:fldCharType="separate"/>
        </w:r>
        <w:r w:rsidR="0065465C">
          <w:rPr>
            <w:noProof/>
            <w:webHidden/>
          </w:rPr>
          <w:t>27</w:t>
        </w:r>
        <w:r w:rsidR="002A16BD">
          <w:rPr>
            <w:noProof/>
            <w:webHidden/>
          </w:rPr>
          <w:fldChar w:fldCharType="end"/>
        </w:r>
      </w:hyperlink>
    </w:p>
    <w:p w14:paraId="215A3A25" w14:textId="4269C954" w:rsidR="002A16BD" w:rsidRPr="00E11327" w:rsidRDefault="00507691" w:rsidP="00CB01BC">
      <w:pPr>
        <w:pStyle w:val="TOC2"/>
        <w:tabs>
          <w:tab w:val="left" w:pos="360"/>
          <w:tab w:val="right" w:leader="dot" w:pos="9350"/>
        </w:tabs>
        <w:spacing w:before="0" w:line="360" w:lineRule="auto"/>
        <w:rPr>
          <w:rFonts w:ascii="Calibri" w:hAnsi="Calibri"/>
          <w:b w:val="0"/>
          <w:bCs w:val="0"/>
          <w:noProof/>
          <w:sz w:val="22"/>
          <w:szCs w:val="22"/>
        </w:rPr>
      </w:pPr>
      <w:hyperlink w:anchor="_Toc140498340" w:history="1">
        <w:r w:rsidR="002A16BD" w:rsidRPr="004626E5">
          <w:rPr>
            <w:rStyle w:val="Hyperlink"/>
            <w:noProof/>
          </w:rPr>
          <w:t>IV.</w:t>
        </w:r>
        <w:r w:rsidR="002A16BD" w:rsidRPr="00E11327">
          <w:rPr>
            <w:rFonts w:ascii="Calibri" w:hAnsi="Calibri"/>
            <w:b w:val="0"/>
            <w:bCs w:val="0"/>
            <w:noProof/>
            <w:sz w:val="22"/>
            <w:szCs w:val="22"/>
          </w:rPr>
          <w:tab/>
        </w:r>
        <w:r w:rsidR="002A16BD" w:rsidRPr="004626E5">
          <w:rPr>
            <w:rStyle w:val="Hyperlink"/>
            <w:noProof/>
          </w:rPr>
          <w:t>CONCLUSION</w:t>
        </w:r>
        <w:r w:rsidR="002A16BD">
          <w:rPr>
            <w:noProof/>
            <w:webHidden/>
          </w:rPr>
          <w:tab/>
        </w:r>
        <w:r w:rsidR="002A16BD">
          <w:rPr>
            <w:noProof/>
            <w:webHidden/>
          </w:rPr>
          <w:fldChar w:fldCharType="begin"/>
        </w:r>
        <w:r w:rsidR="002A16BD">
          <w:rPr>
            <w:noProof/>
            <w:webHidden/>
          </w:rPr>
          <w:instrText xml:space="preserve"> PAGEREF _Toc140498340 \h </w:instrText>
        </w:r>
        <w:r w:rsidR="002A16BD">
          <w:rPr>
            <w:noProof/>
            <w:webHidden/>
          </w:rPr>
        </w:r>
        <w:r w:rsidR="002A16BD">
          <w:rPr>
            <w:noProof/>
            <w:webHidden/>
          </w:rPr>
          <w:fldChar w:fldCharType="separate"/>
        </w:r>
        <w:r w:rsidR="0065465C">
          <w:rPr>
            <w:noProof/>
            <w:webHidden/>
          </w:rPr>
          <w:t>28</w:t>
        </w:r>
        <w:r w:rsidR="002A16BD">
          <w:rPr>
            <w:noProof/>
            <w:webHidden/>
          </w:rPr>
          <w:fldChar w:fldCharType="end"/>
        </w:r>
      </w:hyperlink>
    </w:p>
    <w:p w14:paraId="1D757376" w14:textId="77777777" w:rsidR="00FB7AC6" w:rsidRPr="00EA05D4" w:rsidRDefault="008A174B" w:rsidP="002A16BD">
      <w:pPr>
        <w:tabs>
          <w:tab w:val="left" w:pos="540"/>
        </w:tabs>
        <w:spacing w:line="360" w:lineRule="auto"/>
        <w:ind w:left="540" w:hanging="540"/>
        <w:rPr>
          <w:b/>
          <w:bCs/>
          <w:noProof/>
          <w:szCs w:val="24"/>
        </w:rPr>
      </w:pPr>
      <w:r w:rsidRPr="00EA05D4">
        <w:rPr>
          <w:b/>
          <w:bCs/>
          <w:szCs w:val="24"/>
        </w:rPr>
        <w:fldChar w:fldCharType="end"/>
      </w:r>
    </w:p>
    <w:p w14:paraId="3DDB3D6D" w14:textId="77777777" w:rsidR="002A1EEF" w:rsidRDefault="002A1EEF" w:rsidP="00F70314">
      <w:pPr>
        <w:keepNext/>
        <w:overflowPunct w:val="0"/>
        <w:autoSpaceDE w:val="0"/>
        <w:autoSpaceDN w:val="0"/>
        <w:adjustRightInd w:val="0"/>
        <w:ind w:left="4320"/>
        <w:jc w:val="left"/>
        <w:textAlignment w:val="baseline"/>
        <w:rPr>
          <w:szCs w:val="24"/>
        </w:rPr>
        <w:sectPr w:rsidR="002A1EEF" w:rsidSect="009C6658">
          <w:headerReference w:type="default" r:id="rId10"/>
          <w:headerReference w:type="first" r:id="rId11"/>
          <w:pgSz w:w="12240" w:h="15840"/>
          <w:pgMar w:top="1440" w:right="1440" w:bottom="1440" w:left="1440" w:header="720" w:footer="720" w:gutter="0"/>
          <w:pgNumType w:start="0"/>
          <w:cols w:space="720"/>
          <w:titlePg/>
          <w:docGrid w:linePitch="326"/>
        </w:sectPr>
      </w:pPr>
    </w:p>
    <w:p w14:paraId="36CCD5AB" w14:textId="57D787C9" w:rsidR="007F087F" w:rsidRDefault="00482C55" w:rsidP="006C5F91">
      <w:pPr>
        <w:pStyle w:val="Style2"/>
        <w:numPr>
          <w:ilvl w:val="0"/>
          <w:numId w:val="13"/>
        </w:numPr>
        <w:spacing w:line="240" w:lineRule="auto"/>
        <w:ind w:left="720" w:hanging="720"/>
        <w:jc w:val="both"/>
      </w:pPr>
      <w:bookmarkStart w:id="2" w:name="_Toc140498300"/>
      <w:r>
        <w:lastRenderedPageBreak/>
        <w:t>JURISDICTION, NOTICE, AND PROCEDURAL HISTORY</w:t>
      </w:r>
      <w:bookmarkStart w:id="3" w:name="_Toc90809212"/>
      <w:bookmarkStart w:id="4" w:name="_Toc90810910"/>
      <w:bookmarkStart w:id="5" w:name="_Toc90873172"/>
      <w:bookmarkEnd w:id="2"/>
    </w:p>
    <w:p w14:paraId="6B2DC0A8" w14:textId="77777777" w:rsidR="007F12B3" w:rsidRDefault="00482C55" w:rsidP="00301E18">
      <w:pPr>
        <w:pStyle w:val="Style2"/>
        <w:keepNext w:val="0"/>
        <w:numPr>
          <w:ilvl w:val="0"/>
          <w:numId w:val="13"/>
        </w:numPr>
        <w:spacing w:line="240" w:lineRule="auto"/>
        <w:ind w:left="720" w:hanging="720"/>
        <w:jc w:val="both"/>
      </w:pPr>
      <w:bookmarkStart w:id="6" w:name="_Toc140498301"/>
      <w:bookmarkEnd w:id="3"/>
      <w:bookmarkEnd w:id="4"/>
      <w:bookmarkEnd w:id="5"/>
      <w:r>
        <w:t>SCOPE OF REVIEW</w:t>
      </w:r>
      <w:bookmarkEnd w:id="6"/>
    </w:p>
    <w:p w14:paraId="5544EE6E" w14:textId="72670DA4" w:rsidR="00E94595" w:rsidRDefault="00F069FD" w:rsidP="00090D93">
      <w:pPr>
        <w:spacing w:line="360" w:lineRule="auto"/>
        <w:ind w:firstLine="720"/>
        <w:rPr>
          <w:bCs/>
        </w:rPr>
      </w:pPr>
      <w:r>
        <w:t>Staff agrees with the administrative law judge</w:t>
      </w:r>
      <w:r w:rsidR="00235055">
        <w:t>s</w:t>
      </w:r>
      <w:r>
        <w:t xml:space="preserve"> (ALJ</w:t>
      </w:r>
      <w:r w:rsidR="00235055">
        <w:t>s</w:t>
      </w:r>
      <w:r>
        <w:t xml:space="preserve">) that the Commission </w:t>
      </w:r>
      <w:r w:rsidR="00235055">
        <w:t>must</w:t>
      </w:r>
      <w:r>
        <w:t xml:space="preserve"> hear a rate appeal under Texas Water Code</w:t>
      </w:r>
      <w:r w:rsidR="00160BA1">
        <w:t xml:space="preserve"> (TWC)</w:t>
      </w:r>
      <w:r>
        <w:t xml:space="preserve"> </w:t>
      </w:r>
      <w:r w:rsidR="00160BA1">
        <w:t>§ </w:t>
      </w:r>
      <w:r>
        <w:t>13.043(b)</w:t>
      </w:r>
      <w:r w:rsidR="00160BA1">
        <w:t xml:space="preserve"> d</w:t>
      </w:r>
      <w:r w:rsidR="00235055">
        <w:t>e</w:t>
      </w:r>
      <w:r w:rsidR="00160BA1">
        <w:t xml:space="preserve"> novo, and Staff agrees that the standards for establishing rates under such an appeal are set out in TWC § 13.043(j), which requires the Commission to </w:t>
      </w:r>
      <w:r w:rsidR="00AF6B90">
        <w:t xml:space="preserve">use “a methodology that preserves the financial integrity of the retail public utility.” </w:t>
      </w:r>
      <w:r w:rsidR="00385074">
        <w:t xml:space="preserve">However, Staff would note, once again, that financial integrity is not a </w:t>
      </w:r>
      <w:r w:rsidR="004C2C4F">
        <w:t>blanket waiver</w:t>
      </w:r>
      <w:r w:rsidR="00385074">
        <w:t xml:space="preserve"> that allows a water supply corporation</w:t>
      </w:r>
      <w:r w:rsidR="00257113">
        <w:t xml:space="preserve"> (WSC)</w:t>
      </w:r>
      <w:r w:rsidR="00385074">
        <w:t xml:space="preserve"> to incur as much debt as it likes and to subsequently raise its rates as high as it</w:t>
      </w:r>
      <w:r w:rsidR="00F81701">
        <w:t xml:space="preserve"> likes</w:t>
      </w:r>
      <w:r w:rsidR="00257113">
        <w:t xml:space="preserve">, merely to preserve its financial integrity. </w:t>
      </w:r>
      <w:r w:rsidR="0072643C">
        <w:t>As the Commission has stated, “</w:t>
      </w:r>
      <w:r w:rsidR="0056420D">
        <w:rPr>
          <w:bCs/>
        </w:rPr>
        <w:t>[c]</w:t>
      </w:r>
      <w:proofErr w:type="spellStart"/>
      <w:r w:rsidR="0072643C" w:rsidRPr="00BA46D3">
        <w:rPr>
          <w:bCs/>
        </w:rPr>
        <w:t>onsiderations</w:t>
      </w:r>
      <w:proofErr w:type="spellEnd"/>
      <w:r w:rsidR="0072643C" w:rsidRPr="00BA46D3">
        <w:rPr>
          <w:bCs/>
        </w:rPr>
        <w:t xml:space="preserve"> of financial integrity cannot, however, be treated as a trump card that overrides the utility's obligation to comply with the standard requirements for proving is water and sewer rates</w:t>
      </w:r>
      <w:r w:rsidR="0072643C">
        <w:rPr>
          <w:bCs/>
        </w:rPr>
        <w:t>.”</w:t>
      </w:r>
      <w:r w:rsidR="0072643C">
        <w:rPr>
          <w:rStyle w:val="FootnoteReference"/>
          <w:bCs/>
        </w:rPr>
        <w:footnoteReference w:id="1"/>
      </w:r>
      <w:r w:rsidR="00A462BF">
        <w:rPr>
          <w:bCs/>
        </w:rPr>
        <w:t xml:space="preserve"> The real q</w:t>
      </w:r>
      <w:r w:rsidR="006A2B01">
        <w:rPr>
          <w:bCs/>
        </w:rPr>
        <w:t>u</w:t>
      </w:r>
      <w:r w:rsidR="00A462BF">
        <w:rPr>
          <w:bCs/>
        </w:rPr>
        <w:t xml:space="preserve">estion is whether </w:t>
      </w:r>
      <w:r w:rsidR="00A370EB">
        <w:rPr>
          <w:bCs/>
        </w:rPr>
        <w:t xml:space="preserve">the </w:t>
      </w:r>
      <w:r w:rsidR="00C07926">
        <w:rPr>
          <w:bCs/>
        </w:rPr>
        <w:t>WSC</w:t>
      </w:r>
      <w:r w:rsidR="00A370EB">
        <w:rPr>
          <w:bCs/>
        </w:rPr>
        <w:t xml:space="preserve"> seek</w:t>
      </w:r>
      <w:r w:rsidR="00C07926">
        <w:rPr>
          <w:bCs/>
        </w:rPr>
        <w:t>s</w:t>
      </w:r>
      <w:r w:rsidR="00A370EB">
        <w:rPr>
          <w:bCs/>
        </w:rPr>
        <w:t xml:space="preserve"> to recover </w:t>
      </w:r>
      <w:r w:rsidR="00A462BF">
        <w:rPr>
          <w:bCs/>
        </w:rPr>
        <w:t>expenses</w:t>
      </w:r>
      <w:r w:rsidR="0059417E">
        <w:rPr>
          <w:bCs/>
        </w:rPr>
        <w:t xml:space="preserve"> that</w:t>
      </w:r>
      <w:r w:rsidR="00A462BF">
        <w:rPr>
          <w:bCs/>
        </w:rPr>
        <w:t xml:space="preserve"> were </w:t>
      </w:r>
      <w:r w:rsidR="002B2064">
        <w:rPr>
          <w:bCs/>
        </w:rPr>
        <w:t>reasonable and necessary</w:t>
      </w:r>
      <w:r w:rsidR="00E81B02">
        <w:rPr>
          <w:bCs/>
        </w:rPr>
        <w:t xml:space="preserve"> to the provision of service</w:t>
      </w:r>
      <w:r w:rsidR="00A462BF">
        <w:rPr>
          <w:bCs/>
        </w:rPr>
        <w:t xml:space="preserve">. </w:t>
      </w:r>
      <w:r w:rsidR="00C07926">
        <w:rPr>
          <w:bCs/>
        </w:rPr>
        <w:t>To allow recovery of expenses imprudently incurred is nonsensical; the Commission is not bound to sanction a utility’s bad decisions solely so it can remain in the black.</w:t>
      </w:r>
    </w:p>
    <w:p w14:paraId="507BE679" w14:textId="77777777" w:rsidR="00482C55" w:rsidRDefault="005D4920" w:rsidP="00301E18">
      <w:pPr>
        <w:pStyle w:val="Style2"/>
        <w:keepNext w:val="0"/>
        <w:numPr>
          <w:ilvl w:val="0"/>
          <w:numId w:val="13"/>
        </w:numPr>
        <w:spacing w:line="240" w:lineRule="auto"/>
        <w:jc w:val="both"/>
      </w:pPr>
      <w:bookmarkStart w:id="7" w:name="_Toc140498302"/>
      <w:r>
        <w:t>DISCUSSION</w:t>
      </w:r>
      <w:bookmarkEnd w:id="7"/>
    </w:p>
    <w:p w14:paraId="3C459B1B" w14:textId="16991EF2" w:rsidR="00F45225" w:rsidRPr="00F45225" w:rsidRDefault="0015059C" w:rsidP="00F45225">
      <w:pPr>
        <w:spacing w:line="360" w:lineRule="auto"/>
        <w:ind w:firstLine="720"/>
      </w:pPr>
      <w:r w:rsidRPr="00F45225">
        <w:t xml:space="preserve">The primary issue in this appeal is whether </w:t>
      </w:r>
      <w:r w:rsidR="00B163BD" w:rsidRPr="00F45225">
        <w:t xml:space="preserve">and how </w:t>
      </w:r>
      <w:r w:rsidRPr="00F45225">
        <w:t xml:space="preserve">Windermere should </w:t>
      </w:r>
      <w:r w:rsidR="00B163BD" w:rsidRPr="00F45225">
        <w:t>recover</w:t>
      </w:r>
      <w:r w:rsidRPr="00F45225">
        <w:t xml:space="preserve"> </w:t>
      </w:r>
      <w:r w:rsidR="008621F3" w:rsidRPr="00F45225">
        <w:t xml:space="preserve">the entirety of the $1,307,001 dollars that </w:t>
      </w:r>
      <w:r w:rsidR="00B163BD" w:rsidRPr="00F45225">
        <w:t>it</w:t>
      </w:r>
      <w:r w:rsidR="008621F3" w:rsidRPr="00F45225">
        <w:t xml:space="preserve"> spent, over the course of less than five years, on lawsuits related to the sale</w:t>
      </w:r>
      <w:r w:rsidR="00EC02D9">
        <w:t xml:space="preserve"> of land to</w:t>
      </w:r>
      <w:r w:rsidR="008621F3" w:rsidRPr="00F45225">
        <w:t xml:space="preserve"> a </w:t>
      </w:r>
      <w:r w:rsidR="00893050" w:rsidRPr="00F45225">
        <w:t>former Board member, Dana Martin. While Windermere claim</w:t>
      </w:r>
      <w:r w:rsidR="00624D7E" w:rsidRPr="00F45225">
        <w:t>s</w:t>
      </w:r>
      <w:r w:rsidR="00893050" w:rsidRPr="00F45225">
        <w:t xml:space="preserve"> to</w:t>
      </w:r>
      <w:r w:rsidR="00624D7E" w:rsidRPr="00F45225">
        <w:t xml:space="preserve"> have</w:t>
      </w:r>
      <w:r w:rsidR="00893050" w:rsidRPr="00F45225">
        <w:t xml:space="preserve"> incorporate</w:t>
      </w:r>
      <w:r w:rsidR="00624D7E" w:rsidRPr="00F45225">
        <w:t>d</w:t>
      </w:r>
      <w:r w:rsidR="00893050" w:rsidRPr="00F45225">
        <w:t xml:space="preserve"> $171,337 in</w:t>
      </w:r>
      <w:r w:rsidR="00624D7E" w:rsidRPr="00F45225">
        <w:t>to</w:t>
      </w:r>
      <w:r w:rsidR="00893050" w:rsidRPr="00F45225">
        <w:t xml:space="preserve"> </w:t>
      </w:r>
      <w:r w:rsidR="00624D7E" w:rsidRPr="00F45225">
        <w:t>its base</w:t>
      </w:r>
      <w:r w:rsidR="00893050" w:rsidRPr="00F45225">
        <w:t xml:space="preserve"> rates</w:t>
      </w:r>
      <w:r w:rsidR="00624D7E" w:rsidRPr="00F45225">
        <w:t xml:space="preserve"> in order to pay off its legal debts</w:t>
      </w:r>
      <w:r w:rsidR="00893050" w:rsidRPr="00F45225">
        <w:t xml:space="preserve">, that </w:t>
      </w:r>
      <w:r w:rsidR="00624D7E" w:rsidRPr="00F45225">
        <w:t xml:space="preserve">is </w:t>
      </w:r>
      <w:r w:rsidR="00893050" w:rsidRPr="00F45225">
        <w:t xml:space="preserve">not true. </w:t>
      </w:r>
      <w:r w:rsidR="00E81B02">
        <w:t xml:space="preserve">The amount of </w:t>
      </w:r>
      <w:r w:rsidR="00C532C8" w:rsidRPr="00F45225">
        <w:t xml:space="preserve">$171,337 is an amount taken from a rate study provided by Texas Rural Water Association (TRWA), based on numbers that Windermere did not use to set its rates. The TRWA </w:t>
      </w:r>
      <w:r w:rsidR="00C30BDB" w:rsidRPr="00F45225">
        <w:t xml:space="preserve">study is useless in evaluating rates because Windermere did </w:t>
      </w:r>
      <w:r w:rsidR="00C30BDB" w:rsidRPr="00E81B02">
        <w:rPr>
          <w:i/>
          <w:iCs/>
        </w:rPr>
        <w:t>not</w:t>
      </w:r>
      <w:r w:rsidR="00C30BDB" w:rsidRPr="00F45225">
        <w:t xml:space="preserve"> use the TRWA study to set its rates</w:t>
      </w:r>
      <w:r w:rsidR="007729C6">
        <w:rPr>
          <w:rStyle w:val="FootnoteReference"/>
        </w:rPr>
        <w:footnoteReference w:id="2"/>
      </w:r>
      <w:r w:rsidR="00C30BDB" w:rsidRPr="00F45225">
        <w:t xml:space="preserve">. </w:t>
      </w:r>
      <w:r w:rsidR="00835FC6" w:rsidRPr="00F45225">
        <w:t xml:space="preserve">Staff cannot emphasize this enough. The rate study that Windermere provided at the outset of this proceeding, and clung to for over a year, </w:t>
      </w:r>
      <w:r w:rsidR="00112DF6" w:rsidRPr="00F45225">
        <w:t xml:space="preserve">is not connected in any way to the rates that Windermere adopted. The rates do not recover the “revenue requirement” set out by the TRWA study. The TRWA study does not reflect the expenses that the Board did, in fact, use to set the rates. </w:t>
      </w:r>
      <w:r w:rsidR="00846470" w:rsidRPr="00F45225">
        <w:t xml:space="preserve">The TRWA study </w:t>
      </w:r>
      <w:r w:rsidR="0002635B" w:rsidRPr="00F45225">
        <w:t xml:space="preserve">does not </w:t>
      </w:r>
      <w:r w:rsidR="00846470" w:rsidRPr="00F45225">
        <w:t>show</w:t>
      </w:r>
      <w:r w:rsidR="0002635B" w:rsidRPr="00F45225">
        <w:t xml:space="preserve"> </w:t>
      </w:r>
      <w:r w:rsidR="00846470" w:rsidRPr="00F45225">
        <w:t xml:space="preserve">the 2019 </w:t>
      </w:r>
      <w:r w:rsidR="0002635B" w:rsidRPr="00F45225">
        <w:t>operating costs in all</w:t>
      </w:r>
      <w:r w:rsidR="00846470" w:rsidRPr="00F45225">
        <w:t xml:space="preserve"> categories.</w:t>
      </w:r>
    </w:p>
    <w:p w14:paraId="555C2AE8" w14:textId="16547444" w:rsidR="008F06AF" w:rsidRDefault="005526A4" w:rsidP="00F45225">
      <w:pPr>
        <w:spacing w:line="360" w:lineRule="auto"/>
        <w:ind w:firstLine="720"/>
      </w:pPr>
      <w:r>
        <w:lastRenderedPageBreak/>
        <w:t xml:space="preserve">To focus on </w:t>
      </w:r>
      <w:r w:rsidR="0002635B" w:rsidRPr="00F45225">
        <w:t>$171,337 is</w:t>
      </w:r>
      <w:r>
        <w:t xml:space="preserve"> to focus on</w:t>
      </w:r>
      <w:r w:rsidR="0002635B" w:rsidRPr="00F45225">
        <w:t xml:space="preserve"> a</w:t>
      </w:r>
      <w:r w:rsidR="001D4815">
        <w:t xml:space="preserve"> hypothetical</w:t>
      </w:r>
      <w:r w:rsidR="0002635B" w:rsidRPr="00F45225">
        <w:t xml:space="preserve"> number,</w:t>
      </w:r>
      <w:r w:rsidR="000E69BC">
        <w:t xml:space="preserve"> </w:t>
      </w:r>
      <w:r w:rsidR="0002635B" w:rsidRPr="00F45225">
        <w:t xml:space="preserve">based on a </w:t>
      </w:r>
      <w:r w:rsidR="001D4815">
        <w:t>hypothetical</w:t>
      </w:r>
      <w:r w:rsidR="0002635B" w:rsidRPr="00F45225">
        <w:t xml:space="preserve"> budget, based on </w:t>
      </w:r>
      <w:proofErr w:type="spellStart"/>
      <w:r w:rsidR="001D4815">
        <w:t>hypthetical</w:t>
      </w:r>
      <w:proofErr w:type="spellEnd"/>
      <w:r w:rsidR="0002635B" w:rsidRPr="00F45225">
        <w:t xml:space="preserve"> expenses</w:t>
      </w:r>
      <w:r w:rsidR="00F92446" w:rsidRPr="00F45225">
        <w:t xml:space="preserve"> that do not accurately reflect Windermere’s cost of providing service</w:t>
      </w:r>
      <w:r w:rsidR="009B4053" w:rsidRPr="00F45225">
        <w:t xml:space="preserve">. </w:t>
      </w:r>
      <w:r w:rsidR="00EE1A5B">
        <w:t xml:space="preserve">Staff says this with all seriousness—the adjustments that Windermere made to is 2019 year-end financials to arrive at its budget are not supported by the record. </w:t>
      </w:r>
      <w:r w:rsidR="00F92446" w:rsidRPr="00F45225">
        <w:t xml:space="preserve">To focus on this number is to fall victim to the same misdirection that Windermere perpetrated for over a year. </w:t>
      </w:r>
      <w:r w:rsidR="004A1050">
        <w:t xml:space="preserve">This is the number that was initially appealed because it was the </w:t>
      </w:r>
      <w:r w:rsidR="00300562">
        <w:t xml:space="preserve">amount </w:t>
      </w:r>
      <w:r w:rsidR="004A1050">
        <w:t xml:space="preserve">that the Board represented to the ratepayers </w:t>
      </w:r>
      <w:r w:rsidR="00300562">
        <w:t>was being paid for legal expenses each year.</w:t>
      </w:r>
      <w:r w:rsidR="004A1050">
        <w:t xml:space="preserve"> </w:t>
      </w:r>
      <w:r w:rsidR="00E3119B">
        <w:t xml:space="preserve">That was not true. The Board was actually paying $250,000 per year for legal expenses. </w:t>
      </w:r>
      <w:r w:rsidR="008F06AF">
        <w:t xml:space="preserve">As such, </w:t>
      </w:r>
      <w:r w:rsidR="00EC02D9">
        <w:t>an evaluation</w:t>
      </w:r>
      <w:r w:rsidR="00EF7476">
        <w:t xml:space="preserve"> of the appealed rates</w:t>
      </w:r>
      <w:r w:rsidR="008F06AF">
        <w:t xml:space="preserve"> necessarily includes more than</w:t>
      </w:r>
      <w:r w:rsidR="003F6390">
        <w:t xml:space="preserve"> just an evaluation of</w:t>
      </w:r>
      <w:r w:rsidR="008F06AF">
        <w:t xml:space="preserve"> the base rates.</w:t>
      </w:r>
    </w:p>
    <w:p w14:paraId="4BE6E6CA" w14:textId="771F42AF" w:rsidR="00702D9E" w:rsidRDefault="00F92446" w:rsidP="00F45225">
      <w:pPr>
        <w:spacing w:line="360" w:lineRule="auto"/>
        <w:ind w:firstLine="720"/>
      </w:pPr>
      <w:r w:rsidRPr="00F45225">
        <w:t>To get to the bottom of Windermere’s</w:t>
      </w:r>
      <w:r w:rsidR="00BA2C61" w:rsidRPr="00F45225">
        <w:t xml:space="preserve"> existing</w:t>
      </w:r>
      <w:r w:rsidRPr="00F45225">
        <w:t xml:space="preserve"> rates, the best that one can do</w:t>
      </w:r>
      <w:r w:rsidR="00BA2C61" w:rsidRPr="00F45225">
        <w:t xml:space="preserve">, if one is to believe Windermere’s own documents, is to look at Windermere’s 2020 budget. </w:t>
      </w:r>
      <w:r w:rsidR="007159C7" w:rsidRPr="00F45225">
        <w:t>That is the basis of the appealed rates. That document shows Windermere’s anticipated income and expenses. Even though the</w:t>
      </w:r>
      <w:r w:rsidR="009B4053" w:rsidRPr="00F45225">
        <w:t xml:space="preserve"> income and expenses</w:t>
      </w:r>
      <w:r w:rsidR="007159C7" w:rsidRPr="00F45225">
        <w:t xml:space="preserve"> in the budget still do not </w:t>
      </w:r>
      <w:r w:rsidR="009B4053" w:rsidRPr="00F45225">
        <w:t>support the existing rates</w:t>
      </w:r>
      <w:r w:rsidR="003F6390">
        <w:rPr>
          <w:rStyle w:val="FootnoteReference"/>
        </w:rPr>
        <w:footnoteReference w:id="3"/>
      </w:r>
      <w:r w:rsidR="009B4053" w:rsidRPr="00F45225">
        <w:t xml:space="preserve">, at least they bear some relationship. </w:t>
      </w:r>
      <w:r w:rsidR="007A0444">
        <w:t xml:space="preserve">One cannot look at a single number, from an inaccurate representation of a utility’s financial needs, and evaluate that number in a vacuum. </w:t>
      </w:r>
      <w:r w:rsidR="00670F99">
        <w:t>This is why Windermere’s failure to disclose its actual rate design has crippled this docket from its outset. Staff was forced to try to make sense of a puzzle that was missing a handful of pieces</w:t>
      </w:r>
      <w:r w:rsidR="00F33549">
        <w:t xml:space="preserve">, </w:t>
      </w:r>
      <w:r w:rsidR="006B6B85">
        <w:t>or $130,000</w:t>
      </w:r>
      <w:r w:rsidR="00670F99">
        <w:t>.</w:t>
      </w:r>
      <w:r w:rsidR="006B6B85">
        <w:rPr>
          <w:rStyle w:val="FootnoteReference"/>
        </w:rPr>
        <w:footnoteReference w:id="4"/>
      </w:r>
      <w:r w:rsidR="00670F99">
        <w:t xml:space="preserve"> </w:t>
      </w:r>
    </w:p>
    <w:p w14:paraId="7430AB6C" w14:textId="21BDA1F6" w:rsidR="0015059C" w:rsidRPr="00F45225" w:rsidRDefault="00702D9E" w:rsidP="00F45225">
      <w:pPr>
        <w:spacing w:line="360" w:lineRule="auto"/>
        <w:ind w:firstLine="720"/>
      </w:pPr>
      <w:r>
        <w:t>Staff also notes that there is a far larger question at issue in this docket</w:t>
      </w:r>
      <w:r w:rsidR="003E72C6">
        <w:t xml:space="preserve"> than </w:t>
      </w:r>
      <w:r w:rsidR="006B421B">
        <w:t>recovery</w:t>
      </w:r>
      <w:r w:rsidR="003E72C6">
        <w:t xml:space="preserve"> of a specific dollar amount, whether it is $171,</w:t>
      </w:r>
      <w:r w:rsidR="00CE6BDF">
        <w:t>337</w:t>
      </w:r>
      <w:r w:rsidR="003E72C6">
        <w:t xml:space="preserve"> dollars or $250,000 dollars</w:t>
      </w:r>
      <w:r>
        <w:t xml:space="preserve">. Even if Windermere should recover some of its legal expenses through its rates, should Windermere have subjected its members to a </w:t>
      </w:r>
      <w:r w:rsidR="00C63EC7">
        <w:t>1.3 million dollar legal debt in the first place</w:t>
      </w:r>
      <w:r w:rsidR="00CE6BDF">
        <w:t xml:space="preserve">? Staff believes that the answer to that is a firm “no,” and Staff believes that the Commission has the authority to </w:t>
      </w:r>
      <w:r w:rsidR="007F0833">
        <w:t xml:space="preserve">make sure that Windermere doesn’t subject its members to the same unnecessary expenses going forward. </w:t>
      </w:r>
      <w:r w:rsidR="00C63EC7">
        <w:t xml:space="preserve">Windermere will have to settle its debts, but </w:t>
      </w:r>
      <w:r w:rsidR="00AA5E3B">
        <w:t>it is dangerous precedent to allow a water supply corporation of any size to incur</w:t>
      </w:r>
      <w:r w:rsidR="007F0833">
        <w:t>, in a single year,</w:t>
      </w:r>
      <w:r w:rsidR="00AA5E3B">
        <w:t xml:space="preserve"> debt that </w:t>
      </w:r>
      <w:r w:rsidR="0066679B">
        <w:t xml:space="preserve">is </w:t>
      </w:r>
      <w:r w:rsidR="00D55B3C">
        <w:t>almost</w:t>
      </w:r>
      <w:r w:rsidR="003572F9">
        <w:t xml:space="preserve"> equal to</w:t>
      </w:r>
      <w:r w:rsidR="0066679B">
        <w:t xml:space="preserve"> its average yearly income.</w:t>
      </w:r>
      <w:r w:rsidR="0066679B">
        <w:rPr>
          <w:rStyle w:val="FootnoteReference"/>
        </w:rPr>
        <w:footnoteReference w:id="5"/>
      </w:r>
      <w:r w:rsidR="009B4053" w:rsidRPr="00F45225">
        <w:t xml:space="preserve"> </w:t>
      </w:r>
    </w:p>
    <w:p w14:paraId="0A2D387C" w14:textId="77777777" w:rsidR="005D4920" w:rsidRDefault="005D4920" w:rsidP="00CE6BDF">
      <w:pPr>
        <w:pStyle w:val="Style2"/>
        <w:numPr>
          <w:ilvl w:val="1"/>
          <w:numId w:val="13"/>
        </w:numPr>
        <w:spacing w:line="240" w:lineRule="auto"/>
        <w:jc w:val="both"/>
      </w:pPr>
      <w:bookmarkStart w:id="8" w:name="_Toc140498303"/>
      <w:r>
        <w:lastRenderedPageBreak/>
        <w:t>Background</w:t>
      </w:r>
      <w:bookmarkEnd w:id="8"/>
    </w:p>
    <w:p w14:paraId="03DCB668" w14:textId="77777777" w:rsidR="005D4920" w:rsidRDefault="005D4920" w:rsidP="00301E18">
      <w:pPr>
        <w:pStyle w:val="Style2"/>
        <w:keepNext w:val="0"/>
        <w:numPr>
          <w:ilvl w:val="2"/>
          <w:numId w:val="13"/>
        </w:numPr>
        <w:spacing w:line="240" w:lineRule="auto"/>
        <w:jc w:val="both"/>
      </w:pPr>
      <w:bookmarkStart w:id="9" w:name="_Toc140498304"/>
      <w:r>
        <w:t>The Corporation</w:t>
      </w:r>
      <w:bookmarkEnd w:id="9"/>
    </w:p>
    <w:p w14:paraId="454E6097" w14:textId="77777777" w:rsidR="005D4920" w:rsidRDefault="005D4920" w:rsidP="00301E18">
      <w:pPr>
        <w:pStyle w:val="Style2"/>
        <w:keepNext w:val="0"/>
        <w:numPr>
          <w:ilvl w:val="2"/>
          <w:numId w:val="13"/>
        </w:numPr>
        <w:spacing w:line="240" w:lineRule="auto"/>
        <w:jc w:val="both"/>
      </w:pPr>
      <w:bookmarkStart w:id="10" w:name="_Toc140498305"/>
      <w:r>
        <w:t>The Land Sale</w:t>
      </w:r>
      <w:bookmarkEnd w:id="10"/>
    </w:p>
    <w:p w14:paraId="6ADC4C28" w14:textId="77777777" w:rsidR="005D4920" w:rsidRDefault="005D4920" w:rsidP="00301E18">
      <w:pPr>
        <w:pStyle w:val="Style2"/>
        <w:keepNext w:val="0"/>
        <w:numPr>
          <w:ilvl w:val="2"/>
          <w:numId w:val="13"/>
        </w:numPr>
        <w:spacing w:line="240" w:lineRule="auto"/>
        <w:jc w:val="both"/>
      </w:pPr>
      <w:bookmarkStart w:id="11" w:name="_Toc140498306"/>
      <w:r>
        <w:t>The Lawsuits</w:t>
      </w:r>
      <w:bookmarkEnd w:id="11"/>
    </w:p>
    <w:p w14:paraId="2062896D" w14:textId="77777777" w:rsidR="004A5180" w:rsidRDefault="00FB5103" w:rsidP="004A5180">
      <w:pPr>
        <w:spacing w:line="360" w:lineRule="auto"/>
        <w:ind w:firstLine="720"/>
      </w:pPr>
      <w:r>
        <w:t xml:space="preserve">The </w:t>
      </w:r>
      <w:r w:rsidR="00B31657">
        <w:t xml:space="preserve">PFD </w:t>
      </w:r>
      <w:r w:rsidR="00FF4C58">
        <w:t>makes several important points with regard to the many external lawsuits</w:t>
      </w:r>
      <w:r w:rsidR="00A75874">
        <w:t xml:space="preserve"> that have produced Windermere’s legal debt. However, Staff believes that it mischaracterizes some key information. First, the PFD states that</w:t>
      </w:r>
      <w:r w:rsidR="00C50BA9">
        <w:t>:</w:t>
      </w:r>
    </w:p>
    <w:p w14:paraId="7F3EEDD7" w14:textId="77777777" w:rsidR="00C50BA9" w:rsidRDefault="00C50BA9" w:rsidP="000E0196">
      <w:pPr>
        <w:spacing w:after="120"/>
        <w:ind w:left="720" w:right="720"/>
      </w:pPr>
      <w:r w:rsidRPr="00C50BA9">
        <w:t>the plaintiffs sought to compel Windermere to initiate a lawsuit against Ms. Martin to break the land sale contract. Subsequently, the plaintiffs amended their suit to name three active directors in their capacity as directors. As such, Windermere retained multiple law firms to provide proper defenses for both the corporation and its directors.</w:t>
      </w:r>
      <w:r>
        <w:t xml:space="preserve"> </w:t>
      </w:r>
      <w:r w:rsidR="00424040">
        <w:t>However, according to Windermere President Mr. Gimenez, breaking the sales contract would have subjected Windermere to legal liability and countersuits. Thus, Windermere concluded that the claims offered limited upside and, as such, took " a neutral stance," refraining from acceding to plaintiffs' claims to avoid incurring additional legal costs.</w:t>
      </w:r>
      <w:r w:rsidR="00424040">
        <w:rPr>
          <w:rStyle w:val="FootnoteReference"/>
        </w:rPr>
        <w:footnoteReference w:id="6"/>
      </w:r>
    </w:p>
    <w:p w14:paraId="2C3749BE" w14:textId="77777777" w:rsidR="008621AC" w:rsidRDefault="000E0196" w:rsidP="000E0196">
      <w:pPr>
        <w:spacing w:line="360" w:lineRule="auto"/>
        <w:ind w:right="720"/>
      </w:pPr>
      <w:r>
        <w:t xml:space="preserve">There are several problems with this summary. </w:t>
      </w:r>
    </w:p>
    <w:p w14:paraId="6014C295" w14:textId="2F405F6C" w:rsidR="00C50BA9" w:rsidRDefault="000E0196" w:rsidP="00444CC5">
      <w:pPr>
        <w:spacing w:line="360" w:lineRule="auto"/>
        <w:ind w:firstLine="720"/>
      </w:pPr>
      <w:r>
        <w:t xml:space="preserve">First, </w:t>
      </w:r>
      <w:r w:rsidR="0005751C">
        <w:t xml:space="preserve">the plaintiffs in the </w:t>
      </w:r>
      <w:r w:rsidR="0005751C" w:rsidRPr="0005751C">
        <w:rPr>
          <w:i/>
          <w:iCs/>
        </w:rPr>
        <w:t>Double F Hangar Lawsuit</w:t>
      </w:r>
      <w:r w:rsidR="0005751C">
        <w:t xml:space="preserve"> added the three individual directors after the sitting </w:t>
      </w:r>
      <w:r w:rsidR="00F57D22">
        <w:t xml:space="preserve">Board decided to revise its deal with Dana Martin to </w:t>
      </w:r>
      <w:r w:rsidR="00A81F9B">
        <w:t>provide</w:t>
      </w:r>
      <w:r w:rsidR="00F57D22">
        <w:t xml:space="preserve"> additional acreage</w:t>
      </w:r>
      <w:r w:rsidR="00A81F9B">
        <w:t xml:space="preserve"> to Ms. Martin.</w:t>
      </w:r>
      <w:r w:rsidR="00A81F9B">
        <w:rPr>
          <w:rStyle w:val="FootnoteReference"/>
        </w:rPr>
        <w:footnoteReference w:id="7"/>
      </w:r>
      <w:r w:rsidR="00CE2F01">
        <w:t xml:space="preserve"> </w:t>
      </w:r>
      <w:r w:rsidR="00F3294D">
        <w:t>In doing so, t</w:t>
      </w:r>
      <w:r w:rsidR="00CE2F01">
        <w:t>he sitting Board</w:t>
      </w:r>
      <w:r w:rsidR="00F12478">
        <w:t>, which had not yet been</w:t>
      </w:r>
      <w:r w:rsidR="00161593">
        <w:t xml:space="preserve"> made</w:t>
      </w:r>
      <w:r w:rsidR="00F12478">
        <w:t xml:space="preserve"> party to the </w:t>
      </w:r>
      <w:r w:rsidR="00F12478">
        <w:rPr>
          <w:i/>
          <w:iCs/>
        </w:rPr>
        <w:t>Double F Hangar Lawsuit</w:t>
      </w:r>
      <w:r w:rsidR="00F12478">
        <w:t>, chose to make an already bad situation worse.</w:t>
      </w:r>
      <w:r w:rsidR="00020FA0">
        <w:rPr>
          <w:rStyle w:val="FootnoteReference"/>
        </w:rPr>
        <w:footnoteReference w:id="8"/>
      </w:r>
      <w:r w:rsidR="00F12478">
        <w:t xml:space="preserve"> Then, and only then, were the </w:t>
      </w:r>
      <w:r w:rsidR="00161593">
        <w:t>sitting</w:t>
      </w:r>
      <w:r w:rsidR="00F12478">
        <w:t xml:space="preserve"> directors </w:t>
      </w:r>
      <w:r w:rsidR="008621AC">
        <w:t>joined to the suit.</w:t>
      </w:r>
      <w:r w:rsidR="00161593">
        <w:rPr>
          <w:rStyle w:val="FootnoteReference"/>
        </w:rPr>
        <w:footnoteReference w:id="9"/>
      </w:r>
      <w:r w:rsidR="008621AC">
        <w:t xml:space="preserve"> Then, and only then, did the Board vote to advance to itself whatever funds might be necessary for legal defense.</w:t>
      </w:r>
      <w:r w:rsidR="00020FA0">
        <w:rPr>
          <w:rStyle w:val="FootnoteReference"/>
        </w:rPr>
        <w:footnoteReference w:id="10"/>
      </w:r>
      <w:r w:rsidR="008621AC">
        <w:t xml:space="preserve"> </w:t>
      </w:r>
    </w:p>
    <w:p w14:paraId="1779AFB0" w14:textId="625AC875" w:rsidR="00717047" w:rsidRDefault="008621AC" w:rsidP="00444CC5">
      <w:pPr>
        <w:spacing w:line="360" w:lineRule="auto"/>
        <w:ind w:firstLine="720"/>
      </w:pPr>
      <w:r>
        <w:lastRenderedPageBreak/>
        <w:t xml:space="preserve">Second, to say that the Board took a “neutral” stance disregards </w:t>
      </w:r>
      <w:r w:rsidR="00DC0C58">
        <w:t xml:space="preserve">the facts. The Board took steps that </w:t>
      </w:r>
      <w:r w:rsidR="004C19B7">
        <w:t xml:space="preserve">improperly </w:t>
      </w:r>
      <w:r w:rsidR="00DC0C58">
        <w:t xml:space="preserve">benefitted Ms. Martin </w:t>
      </w:r>
      <w:r w:rsidR="002D1A84">
        <w:t xml:space="preserve">when it sold her the land, and it took steps that benefitted Ms. Martin when it </w:t>
      </w:r>
      <w:r w:rsidR="004C19B7">
        <w:t>revised the already hotly-contested original agreement to transfer an additional half acre of land to Ms. Martin for $20,000</w:t>
      </w:r>
      <w:r w:rsidR="002D1A84">
        <w:t>.</w:t>
      </w:r>
      <w:r w:rsidR="00020FA0">
        <w:rPr>
          <w:rStyle w:val="FootnoteReference"/>
        </w:rPr>
        <w:footnoteReference w:id="11"/>
      </w:r>
      <w:r w:rsidR="002D1A84">
        <w:t xml:space="preserve"> The Board did not take a </w:t>
      </w:r>
      <w:r w:rsidR="003717EB">
        <w:t>“neutral stance” when it fought to avoid turning over its financial records to one of its own members, going so far as to sue the Texas Attorney General</w:t>
      </w:r>
      <w:r w:rsidR="002D1A84">
        <w:t xml:space="preserve"> </w:t>
      </w:r>
      <w:r w:rsidR="003717EB">
        <w:t xml:space="preserve">in order to </w:t>
      </w:r>
      <w:r w:rsidR="00CE14CB">
        <w:t>avoid doing so</w:t>
      </w:r>
      <w:r w:rsidR="00E726CF">
        <w:t>.</w:t>
      </w:r>
      <w:r w:rsidR="00C14DFE">
        <w:rPr>
          <w:rStyle w:val="FootnoteReference"/>
        </w:rPr>
        <w:footnoteReference w:id="12"/>
      </w:r>
      <w:r w:rsidR="00CE14CB">
        <w:t xml:space="preserve"> </w:t>
      </w:r>
      <w:r w:rsidR="007C1500">
        <w:t>Given that “all books and records of the Corporation may be inspected by any member or his agent or attorney for any proper purpose at any reasonable time when so requested in writing”,</w:t>
      </w:r>
      <w:r w:rsidR="00BC7034">
        <w:rPr>
          <w:rStyle w:val="FootnoteReference"/>
        </w:rPr>
        <w:footnoteReference w:id="13"/>
      </w:r>
      <w:r w:rsidR="00526DE5">
        <w:t xml:space="preserve"> denying a member’s request to see corporate record</w:t>
      </w:r>
      <w:r w:rsidR="00B10578">
        <w:t>s is more aptly read as adversarial than neutral.</w:t>
      </w:r>
      <w:r w:rsidR="00547D2D">
        <w:t xml:space="preserve"> </w:t>
      </w:r>
      <w:r w:rsidR="00C31D74">
        <w:t>The Board’s “neutral</w:t>
      </w:r>
      <w:r w:rsidR="002C6616">
        <w:t>”</w:t>
      </w:r>
      <w:r w:rsidR="00C31D74">
        <w:t xml:space="preserve"> stance resulted in Dana Martin keeping valuable land, in Dana Martin receiving additional land and an easement, </w:t>
      </w:r>
      <w:r w:rsidR="001B5683">
        <w:t xml:space="preserve">the eventual release that Windermere fought to withhold, </w:t>
      </w:r>
      <w:r w:rsidR="00C31D74">
        <w:t xml:space="preserve">and </w:t>
      </w:r>
      <w:r w:rsidR="00050EF6">
        <w:t xml:space="preserve">Windermere </w:t>
      </w:r>
      <w:r w:rsidR="001B5683">
        <w:t>incurring</w:t>
      </w:r>
      <w:r w:rsidR="00050EF6">
        <w:t xml:space="preserve"> 1.3 million dollars in legal </w:t>
      </w:r>
      <w:r w:rsidR="001B5683">
        <w:t>debt</w:t>
      </w:r>
      <w:r w:rsidR="00050EF6">
        <w:t>.</w:t>
      </w:r>
    </w:p>
    <w:p w14:paraId="3255B972" w14:textId="2168ECC8" w:rsidR="00F61323" w:rsidRDefault="00547D2D" w:rsidP="00444CC5">
      <w:pPr>
        <w:spacing w:line="360" w:lineRule="auto"/>
        <w:ind w:firstLine="720"/>
      </w:pPr>
      <w:r>
        <w:t xml:space="preserve">The PFD envisions the Board as a </w:t>
      </w:r>
      <w:r w:rsidR="00FD01FF">
        <w:t>simple</w:t>
      </w:r>
      <w:r>
        <w:t xml:space="preserve"> group of volunteers, besieged by</w:t>
      </w:r>
      <w:r w:rsidR="00506F93">
        <w:t xml:space="preserve"> lawsuits</w:t>
      </w:r>
      <w:r w:rsidR="00EF2041">
        <w:t>,</w:t>
      </w:r>
      <w:r w:rsidR="00F059F3">
        <w:t xml:space="preserve"> PIA </w:t>
      </w:r>
      <w:r w:rsidR="001B5683">
        <w:t xml:space="preserve">and </w:t>
      </w:r>
      <w:r w:rsidR="00F059F3">
        <w:t xml:space="preserve">requests </w:t>
      </w:r>
      <w:r w:rsidR="00506F93">
        <w:t>from</w:t>
      </w:r>
      <w:r w:rsidR="00770AC5">
        <w:t xml:space="preserve"> </w:t>
      </w:r>
      <w:r w:rsidR="00145229">
        <w:t>overly litigious</w:t>
      </w:r>
      <w:r w:rsidR="00770AC5">
        <w:t xml:space="preserve"> members</w:t>
      </w:r>
      <w:r w:rsidR="0061393C">
        <w:t>.</w:t>
      </w:r>
      <w:r w:rsidR="00FD01FF">
        <w:t xml:space="preserve"> </w:t>
      </w:r>
      <w:r w:rsidR="0061393C">
        <w:t>R</w:t>
      </w:r>
      <w:r w:rsidR="00FD01FF">
        <w:t xml:space="preserve">ealistically, those members were trying to hold a Board accountable for its </w:t>
      </w:r>
      <w:r w:rsidR="007C799D">
        <w:t xml:space="preserve">questionable </w:t>
      </w:r>
      <w:r w:rsidR="00FD01FF">
        <w:t>actions</w:t>
      </w:r>
      <w:r w:rsidR="00510534">
        <w:t>, as</w:t>
      </w:r>
      <w:r w:rsidR="0061393C">
        <w:t xml:space="preserve"> are</w:t>
      </w:r>
      <w:r w:rsidR="00510534">
        <w:t xml:space="preserve"> the Ratepayers in this docket</w:t>
      </w:r>
      <w:r w:rsidR="00770AC5">
        <w:t>.</w:t>
      </w:r>
      <w:r w:rsidR="007C799D">
        <w:t xml:space="preserve"> If the Board had not insisted on withholding information from members and operating without transparency, perhaps it would not have </w:t>
      </w:r>
      <w:r w:rsidR="00BF5048">
        <w:t xml:space="preserve">found itself subject to such intense scrutiny. </w:t>
      </w:r>
    </w:p>
    <w:p w14:paraId="1DB82155" w14:textId="4777B551" w:rsidR="008621AC" w:rsidRPr="00F12478" w:rsidRDefault="0011139E" w:rsidP="00444CC5">
      <w:pPr>
        <w:spacing w:line="360" w:lineRule="auto"/>
        <w:ind w:firstLine="720"/>
      </w:pPr>
      <w:r>
        <w:t>The PFD notes that Joe Gimenez, former Board president and a non-attorney, stated that seeking to void the land deal with Dana Martin might have opened the Board to further legal action.</w:t>
      </w:r>
      <w:r>
        <w:rPr>
          <w:rStyle w:val="FootnoteReference"/>
        </w:rPr>
        <w:footnoteReference w:id="14"/>
      </w:r>
      <w:r>
        <w:t xml:space="preserve"> But there are</w:t>
      </w:r>
      <w:r w:rsidR="00BF5048">
        <w:t xml:space="preserve"> hypotheticals </w:t>
      </w:r>
      <w:r>
        <w:t xml:space="preserve">that </w:t>
      </w:r>
      <w:r w:rsidR="00E23441">
        <w:t>support the opposing position</w:t>
      </w:r>
      <w:r w:rsidR="00BF5048">
        <w:t xml:space="preserve">. </w:t>
      </w:r>
      <w:r w:rsidR="00747BBD">
        <w:t>Hypothetically,</w:t>
      </w:r>
      <w:r w:rsidR="002E1CFB">
        <w:t xml:space="preserve"> the</w:t>
      </w:r>
      <w:r w:rsidR="00BF5048">
        <w:t xml:space="preserve"> Board</w:t>
      </w:r>
      <w:r w:rsidR="00747BBD">
        <w:t xml:space="preserve"> could have</w:t>
      </w:r>
      <w:r w:rsidR="00BF5048">
        <w:t xml:space="preserve"> chosen </w:t>
      </w:r>
      <w:r w:rsidR="00747BBD">
        <w:t xml:space="preserve">not </w:t>
      </w:r>
      <w:r w:rsidR="00BF5048">
        <w:t>to give Martin more land</w:t>
      </w:r>
      <w:r w:rsidR="00527DC6">
        <w:t xml:space="preserve"> after concerned ratepayers attempted to recover the land on Windermere’s behalf</w:t>
      </w:r>
      <w:r w:rsidR="00747BBD">
        <w:t>.</w:t>
      </w:r>
      <w:r w:rsidR="00BF5048">
        <w:t xml:space="preserve"> </w:t>
      </w:r>
      <w:r w:rsidR="00747BBD">
        <w:t>The Board could have chosen</w:t>
      </w:r>
      <w:r w:rsidR="00BF5048">
        <w:t xml:space="preserve"> to provide corporate records</w:t>
      </w:r>
      <w:r w:rsidR="007579DE">
        <w:t xml:space="preserve"> to its own members</w:t>
      </w:r>
      <w:r w:rsidR="00882A9C">
        <w:t>.</w:t>
      </w:r>
      <w:r w:rsidR="00BF5048">
        <w:t xml:space="preserve"> </w:t>
      </w:r>
      <w:r w:rsidR="00882A9C">
        <w:t>Had the Board decided differently, it</w:t>
      </w:r>
      <w:r w:rsidR="00BF5048">
        <w:t xml:space="preserve"> </w:t>
      </w:r>
      <w:r w:rsidR="00383D05">
        <w:t>might</w:t>
      </w:r>
      <w:r w:rsidR="00256BCE">
        <w:t xml:space="preserve"> </w:t>
      </w:r>
      <w:r w:rsidR="00BF5048">
        <w:t>n</w:t>
      </w:r>
      <w:r w:rsidR="00256BCE">
        <w:t>o</w:t>
      </w:r>
      <w:r w:rsidR="00BF5048">
        <w:t>t have need</w:t>
      </w:r>
      <w:r w:rsidR="00256BCE">
        <w:t>ed</w:t>
      </w:r>
      <w:r w:rsidR="00BF5048">
        <w:t xml:space="preserve"> to </w:t>
      </w:r>
      <w:r w:rsidR="00256BCE">
        <w:t>retain</w:t>
      </w:r>
      <w:r w:rsidR="00BF5048">
        <w:t xml:space="preserve"> </w:t>
      </w:r>
      <w:r w:rsidR="002B2E09">
        <w:t>multiple law firms to provide counsel on multiple matters, and it would</w:t>
      </w:r>
      <w:r w:rsidR="00256BCE">
        <w:t xml:space="preserve"> not</w:t>
      </w:r>
      <w:r w:rsidR="002B2E09">
        <w:t xml:space="preserve"> be in the situation </w:t>
      </w:r>
      <w:r w:rsidR="000A7B8A">
        <w:t xml:space="preserve">that </w:t>
      </w:r>
      <w:r w:rsidR="002B2E09">
        <w:t>it now finds itself.</w:t>
      </w:r>
      <w:r w:rsidR="00882A9C">
        <w:t xml:space="preserve"> If the Board’s decisions can be justified on the back of hypotheticals, then its decisions can be undermined </w:t>
      </w:r>
      <w:r w:rsidR="00E23441">
        <w:t>using</w:t>
      </w:r>
      <w:r w:rsidR="00CF43D1">
        <w:t xml:space="preserve"> the same.</w:t>
      </w:r>
    </w:p>
    <w:p w14:paraId="3BE38854" w14:textId="77777777" w:rsidR="005D4920" w:rsidRDefault="005D4920" w:rsidP="00301E18">
      <w:pPr>
        <w:pStyle w:val="Style2"/>
        <w:keepNext w:val="0"/>
        <w:numPr>
          <w:ilvl w:val="2"/>
          <w:numId w:val="13"/>
        </w:numPr>
        <w:spacing w:line="240" w:lineRule="auto"/>
        <w:jc w:val="both"/>
      </w:pPr>
      <w:bookmarkStart w:id="12" w:name="_Toc140498307"/>
      <w:r>
        <w:t>Legal Expenses (Preliminary Order (PO) Issue 8)</w:t>
      </w:r>
      <w:bookmarkEnd w:id="12"/>
    </w:p>
    <w:p w14:paraId="22F1DF2D" w14:textId="77777777" w:rsidR="005D4920" w:rsidRDefault="005D4920" w:rsidP="00301E18">
      <w:pPr>
        <w:pStyle w:val="Style2"/>
        <w:keepNext w:val="0"/>
        <w:numPr>
          <w:ilvl w:val="2"/>
          <w:numId w:val="13"/>
        </w:numPr>
        <w:spacing w:line="240" w:lineRule="auto"/>
        <w:jc w:val="both"/>
      </w:pPr>
      <w:bookmarkStart w:id="13" w:name="_Toc140498308"/>
      <w:r>
        <w:lastRenderedPageBreak/>
        <w:t>Allied World’s Action</w:t>
      </w:r>
      <w:bookmarkEnd w:id="13"/>
    </w:p>
    <w:p w14:paraId="340B80F6" w14:textId="77777777" w:rsidR="005D4920" w:rsidRDefault="005D4920" w:rsidP="00301E18">
      <w:pPr>
        <w:pStyle w:val="Style2"/>
        <w:keepNext w:val="0"/>
        <w:numPr>
          <w:ilvl w:val="2"/>
          <w:numId w:val="13"/>
        </w:numPr>
        <w:spacing w:line="240" w:lineRule="auto"/>
        <w:jc w:val="both"/>
      </w:pPr>
      <w:bookmarkStart w:id="14" w:name="_Toc140498309"/>
      <w:r>
        <w:t>Other Financial Commitments</w:t>
      </w:r>
      <w:bookmarkEnd w:id="14"/>
    </w:p>
    <w:p w14:paraId="385F3F60" w14:textId="77777777" w:rsidR="005D4920" w:rsidRDefault="005D4920" w:rsidP="00301E18">
      <w:pPr>
        <w:pStyle w:val="Style2"/>
        <w:keepNext w:val="0"/>
        <w:numPr>
          <w:ilvl w:val="2"/>
          <w:numId w:val="13"/>
        </w:numPr>
        <w:spacing w:line="240" w:lineRule="auto"/>
        <w:jc w:val="both"/>
      </w:pPr>
      <w:bookmarkStart w:id="15" w:name="_Toc140498310"/>
      <w:r>
        <w:t>The Board’s Decision</w:t>
      </w:r>
      <w:bookmarkEnd w:id="15"/>
    </w:p>
    <w:p w14:paraId="390F0FD4" w14:textId="3E66F9C1" w:rsidR="00A810F5" w:rsidRDefault="008B3EB0" w:rsidP="00A810F5">
      <w:pPr>
        <w:spacing w:line="360" w:lineRule="auto"/>
        <w:ind w:firstLine="720"/>
      </w:pPr>
      <w:r>
        <w:t>Windermere</w:t>
      </w:r>
      <w:r w:rsidR="00746CB1">
        <w:t xml:space="preserve"> has stated repeatedly that it knew that “it would have to increase rates to ensure system integrity.”</w:t>
      </w:r>
      <w:r>
        <w:rPr>
          <w:rStyle w:val="FootnoteReference"/>
        </w:rPr>
        <w:footnoteReference w:id="15"/>
      </w:r>
      <w:r w:rsidR="008B7E0D">
        <w:t xml:space="preserve"> </w:t>
      </w:r>
      <w:r w:rsidR="003F7A13">
        <w:t>Saying something more than once does not make it true</w:t>
      </w:r>
      <w:r w:rsidR="008B7E0D">
        <w:t xml:space="preserve">. Windermere did not have to </w:t>
      </w:r>
      <w:r w:rsidR="006D0E3C">
        <w:t>adopt the appealed</w:t>
      </w:r>
      <w:r w:rsidR="008B7E0D">
        <w:t xml:space="preserve"> rates to ensure system integrity. </w:t>
      </w:r>
      <w:r w:rsidR="006D0E3C">
        <w:t xml:space="preserve">Instead, it could have chosen to decrease expenses, thus balancing the books. </w:t>
      </w:r>
      <w:r w:rsidR="000650B1">
        <w:t xml:space="preserve">Lessen the amount of money flowing out, and the need for money flowing in </w:t>
      </w:r>
      <w:r w:rsidR="007C3988">
        <w:t>correspondingly decreases.</w:t>
      </w:r>
      <w:r w:rsidR="00BF6F78">
        <w:t xml:space="preserve"> There was no requirement to spend as much money as it did. Board members, whose legal expenses were being covered by Windermere, chose to spend </w:t>
      </w:r>
      <w:r w:rsidR="00225793">
        <w:t xml:space="preserve">that </w:t>
      </w:r>
      <w:r w:rsidR="00FF7FDD">
        <w:t>money,</w:t>
      </w:r>
      <w:r w:rsidR="00225793">
        <w:t xml:space="preserve"> and then chose to raise rates to cover their own expenses, indefinitely.</w:t>
      </w:r>
    </w:p>
    <w:p w14:paraId="11DF1C93" w14:textId="1EBBF6CC" w:rsidR="0018184D" w:rsidRDefault="00FF7FDD" w:rsidP="00A810F5">
      <w:pPr>
        <w:spacing w:line="360" w:lineRule="auto"/>
        <w:ind w:firstLine="720"/>
      </w:pPr>
      <w:r>
        <w:t>In its consideration of the</w:t>
      </w:r>
      <w:r w:rsidR="00160F90">
        <w:t xml:space="preserve"> rate design, the PFD misunderstands the order of operations that resulted in Windermere’s rates. </w:t>
      </w:r>
      <w:r w:rsidR="00AB2638">
        <w:t xml:space="preserve">While Windermere did consult TRWA regarding increasing rates, </w:t>
      </w:r>
      <w:r w:rsidR="00F938D4">
        <w:t>the TRWA study had absolutely no bearing on the</w:t>
      </w:r>
      <w:r w:rsidR="00B367FD">
        <w:t xml:space="preserve"> actual rates. Windermere </w:t>
      </w:r>
      <w:r w:rsidR="00F6429B">
        <w:t xml:space="preserve">first </w:t>
      </w:r>
      <w:r w:rsidR="00B367FD">
        <w:t>developed a budget</w:t>
      </w:r>
      <w:r w:rsidR="00F6429B">
        <w:t xml:space="preserve">, which predicted a shortfall. Windermere sent </w:t>
      </w:r>
      <w:r w:rsidR="00166CF6">
        <w:t>a list of</w:t>
      </w:r>
      <w:r w:rsidR="00F6429B">
        <w:t xml:space="preserve"> expenses to TRWA</w:t>
      </w:r>
      <w:r w:rsidR="00AB2504">
        <w:t xml:space="preserve">. </w:t>
      </w:r>
      <w:r w:rsidR="002D0247">
        <w:t>Attachment B to this filing shows in red the many, many differences between the TRWA rate study, the 2019 year-end financials, and the 2020 annual budget.</w:t>
      </w:r>
      <w:r w:rsidR="00626576">
        <w:rPr>
          <w:rStyle w:val="FootnoteReference"/>
        </w:rPr>
        <w:footnoteReference w:id="16"/>
      </w:r>
      <w:r w:rsidR="002D0247">
        <w:t xml:space="preserve"> </w:t>
      </w:r>
      <w:r w:rsidR="00AB2504">
        <w:t>Some expense categories and amounts corresponded to Windermere’s 2019 year-end financials; many did not.</w:t>
      </w:r>
      <w:r w:rsidR="00AB2504">
        <w:rPr>
          <w:rStyle w:val="FootnoteReference"/>
        </w:rPr>
        <w:footnoteReference w:id="17"/>
      </w:r>
      <w:r w:rsidR="00DE5682">
        <w:t xml:space="preserve"> </w:t>
      </w:r>
      <w:r w:rsidR="0018184D">
        <w:t>The TRWA study does not accurately reflect Windermere’s cost of providing service</w:t>
      </w:r>
      <w:r w:rsidR="00535BED">
        <w:t xml:space="preserve">, despite the fact that Windermere witness Joe Gimenez testified that </w:t>
      </w:r>
      <w:r w:rsidR="00F33C8A">
        <w:t>Windermere</w:t>
      </w:r>
      <w:r w:rsidR="00535BED">
        <w:t xml:space="preserve"> could only use the expenses that it paid </w:t>
      </w:r>
      <w:r w:rsidR="00706F73">
        <w:t xml:space="preserve">in 2019 </w:t>
      </w:r>
      <w:r w:rsidR="00535BED">
        <w:t>in the TRWA study</w:t>
      </w:r>
      <w:r w:rsidR="0018184D">
        <w:t>.</w:t>
      </w:r>
      <w:r w:rsidR="006448BF">
        <w:rPr>
          <w:rStyle w:val="FootnoteReference"/>
        </w:rPr>
        <w:footnoteReference w:id="18"/>
      </w:r>
      <w:r w:rsidR="0018184D">
        <w:t xml:space="preserve"> The TRWA study reflects an amount </w:t>
      </w:r>
      <w:r w:rsidR="008F2A6E">
        <w:t xml:space="preserve">of legal expense </w:t>
      </w:r>
      <w:r w:rsidR="0018184D">
        <w:t>th</w:t>
      </w:r>
      <w:r w:rsidR="008F2A6E">
        <w:t>at</w:t>
      </w:r>
      <w:r w:rsidR="0018184D">
        <w:t xml:space="preserve"> Windermere somehow generated </w:t>
      </w:r>
      <w:r w:rsidR="001524E0">
        <w:t xml:space="preserve">using its 2020 budget, </w:t>
      </w:r>
      <w:r w:rsidR="00477EC7">
        <w:t>estimated</w:t>
      </w:r>
      <w:r w:rsidR="001524E0">
        <w:t xml:space="preserve"> revenues</w:t>
      </w:r>
      <w:r w:rsidR="00477EC7">
        <w:t xml:space="preserve"> that differ wildly from the amounts recovered in 2019</w:t>
      </w:r>
      <w:r w:rsidR="001524E0">
        <w:t xml:space="preserve">, and </w:t>
      </w:r>
      <w:r w:rsidR="00477EC7">
        <w:t>an undocumented agreement to pay its law firms $20,000 per month.</w:t>
      </w:r>
    </w:p>
    <w:p w14:paraId="3757DDBD" w14:textId="79DE3534" w:rsidR="007C3988" w:rsidRDefault="00DE5682" w:rsidP="00A810F5">
      <w:pPr>
        <w:spacing w:line="360" w:lineRule="auto"/>
        <w:ind w:firstLine="720"/>
      </w:pPr>
      <w:r>
        <w:t>TRWA then developed rates for Windermere based on the numbers provided by Windermere</w:t>
      </w:r>
      <w:r w:rsidR="00003FC0">
        <w:t xml:space="preserve">, which, again, did not accurately reflect Windermere’s 2019 expenses or Windermere’s 2020 budgeted expenses. </w:t>
      </w:r>
      <w:r w:rsidR="00166CF6">
        <w:t xml:space="preserve">Contrary to what the PFD indicates, </w:t>
      </w:r>
      <w:r w:rsidR="002A52E9">
        <w:t xml:space="preserve">TRWA did not </w:t>
      </w:r>
      <w:r w:rsidR="002A52E9">
        <w:lastRenderedPageBreak/>
        <w:t>determine a revenue requirement</w:t>
      </w:r>
      <w:r w:rsidR="001F1EF7">
        <w:t>,</w:t>
      </w:r>
      <w:r w:rsidR="00EF2041">
        <w:rPr>
          <w:rStyle w:val="FootnoteReference"/>
        </w:rPr>
        <w:footnoteReference w:id="19"/>
      </w:r>
      <w:r w:rsidR="002A52E9">
        <w:t xml:space="preserve"> </w:t>
      </w:r>
      <w:r w:rsidR="00CA7331">
        <w:t>Windermere provided the revenue requirement</w:t>
      </w:r>
      <w:r w:rsidR="00724CCD">
        <w:t xml:space="preserve">. Windermere told TRWA how much money it needed, and TRWA provided rates that would generate that amount. </w:t>
      </w:r>
      <w:r w:rsidR="00003FC0">
        <w:t>The PFD indicates that TRWA used the cash-needs basis</w:t>
      </w:r>
      <w:r w:rsidR="005B2719">
        <w:t>; TRWA did not use the cash needs basis. The cash needs basis does not include depreciation</w:t>
      </w:r>
      <w:r w:rsidR="00F9362E">
        <w:t xml:space="preserve"> expense</w:t>
      </w:r>
      <w:r w:rsidR="005B2719">
        <w:t>; the TRWA study include</w:t>
      </w:r>
      <w:r w:rsidR="00C456A3">
        <w:t>d</w:t>
      </w:r>
      <w:r w:rsidR="005B2719">
        <w:t xml:space="preserve"> depreciation expense.</w:t>
      </w:r>
      <w:r w:rsidR="000D2013">
        <w:t xml:space="preserve"> Of course, that was not the only problem with the TRWA study. Not only did Windermere indicate to TRWA that it needed to recover an amount through its rates that it did not actually need to recover</w:t>
      </w:r>
      <w:r w:rsidR="005B1271">
        <w:t>;</w:t>
      </w:r>
      <w:r w:rsidR="00572B34">
        <w:t xml:space="preserve"> Windermere</w:t>
      </w:r>
      <w:r w:rsidR="000D2013">
        <w:t xml:space="preserve"> also told TRWA the wrong number of taps to use to calculate the rates.</w:t>
      </w:r>
      <w:r w:rsidR="008733C7">
        <w:rPr>
          <w:rStyle w:val="FootnoteReference"/>
        </w:rPr>
        <w:footnoteReference w:id="20"/>
      </w:r>
    </w:p>
    <w:p w14:paraId="122B384D" w14:textId="4A0A93B8" w:rsidR="005A2D9D" w:rsidRDefault="00D808E3" w:rsidP="00A810F5">
      <w:pPr>
        <w:spacing w:line="360" w:lineRule="auto"/>
        <w:ind w:firstLine="720"/>
      </w:pPr>
      <w:r>
        <w:t>The PFD states that the</w:t>
      </w:r>
      <w:r w:rsidR="00BB6DC5">
        <w:t xml:space="preserve"> Board adopted </w:t>
      </w:r>
      <w:r w:rsidR="000F2623">
        <w:t xml:space="preserve">a </w:t>
      </w:r>
      <w:r w:rsidR="00BB6DC5">
        <w:t xml:space="preserve">rate lower than the </w:t>
      </w:r>
      <w:r w:rsidR="000F2623">
        <w:t>“</w:t>
      </w:r>
      <w:r w:rsidR="00BB6DC5" w:rsidRPr="00BB6DC5">
        <w:t>rate in the TRWA analysis because, unlike TRWA, Windermere did not update its depreciation rates to minimize the burden on its members as it addressed the 2020 budget shortfall.</w:t>
      </w:r>
      <w:r w:rsidR="000F2623">
        <w:t xml:space="preserve">” </w:t>
      </w:r>
      <w:r w:rsidR="000A2041">
        <w:t>This is untrue. Windermere was able to adopt a ra</w:t>
      </w:r>
      <w:r w:rsidR="00E561F8">
        <w:t xml:space="preserve">te lower than what was recommended by TRWA because </w:t>
      </w:r>
      <w:r w:rsidR="00C456A3">
        <w:t>it</w:t>
      </w:r>
      <w:r w:rsidR="00E561F8">
        <w:t xml:space="preserve"> use</w:t>
      </w:r>
      <w:r w:rsidR="005A2D9D">
        <w:t>d</w:t>
      </w:r>
      <w:r w:rsidR="00E561F8">
        <w:t xml:space="preserve"> other revenues that it did not disclose</w:t>
      </w:r>
      <w:r w:rsidR="00577859">
        <w:t xml:space="preserve"> to TRWA</w:t>
      </w:r>
      <w:r w:rsidR="00E561F8">
        <w:t xml:space="preserve"> to</w:t>
      </w:r>
      <w:r w:rsidR="005A2D9D">
        <w:t xml:space="preserve"> absorb</w:t>
      </w:r>
      <w:r w:rsidR="00E561F8">
        <w:t xml:space="preserve"> some of the cost that it indicated that it needed to recover through rates. </w:t>
      </w:r>
      <w:r w:rsidR="00662964">
        <w:t xml:space="preserve">Windermere did not need to make $576,192 from its rates because it </w:t>
      </w:r>
      <w:r w:rsidR="00FC66C1">
        <w:t>recover</w:t>
      </w:r>
      <w:r w:rsidR="008C3D2D">
        <w:t>s</w:t>
      </w:r>
      <w:r w:rsidR="00662964">
        <w:t xml:space="preserve"> significan</w:t>
      </w:r>
      <w:r w:rsidR="008C3D2D">
        <w:t>t</w:t>
      </w:r>
      <w:r w:rsidR="00662964">
        <w:t xml:space="preserve"> other revenues</w:t>
      </w:r>
      <w:r w:rsidR="008C3D2D">
        <w:t xml:space="preserve"> each year</w:t>
      </w:r>
      <w:r w:rsidR="00662964">
        <w:t>.</w:t>
      </w:r>
      <w:r w:rsidR="00906745">
        <w:rPr>
          <w:rStyle w:val="FootnoteReference"/>
        </w:rPr>
        <w:footnoteReference w:id="21"/>
      </w:r>
      <w:r w:rsidR="00662964">
        <w:t xml:space="preserve"> </w:t>
      </w:r>
    </w:p>
    <w:p w14:paraId="40E26730" w14:textId="7BCAC531" w:rsidR="00D808E3" w:rsidRPr="00A810F5" w:rsidRDefault="006511CD" w:rsidP="00A810F5">
      <w:pPr>
        <w:spacing w:line="360" w:lineRule="auto"/>
        <w:ind w:firstLine="720"/>
      </w:pPr>
      <w:r>
        <w:t>Finally, The PFD references Staff’s testimony from the initial hearing on the merits and notes that gallonage rates were not appealed</w:t>
      </w:r>
      <w:r w:rsidR="007759C6">
        <w:t>.</w:t>
      </w:r>
      <w:r w:rsidR="00E64A8D">
        <w:t xml:space="preserve"> </w:t>
      </w:r>
      <w:r w:rsidR="00BB0EAB">
        <w:t xml:space="preserve">Staff would argue that the gallonage rates were not appealed because the Board had consistently </w:t>
      </w:r>
      <w:r w:rsidR="00572B34">
        <w:t>mis</w:t>
      </w:r>
      <w:r w:rsidR="00BB0EAB">
        <w:t>represented to its members that the entirety of the increase in legal expenses was allocated to base rates</w:t>
      </w:r>
      <w:r>
        <w:t>.</w:t>
      </w:r>
      <w:r w:rsidR="00BB0EAB">
        <w:t xml:space="preserve"> Only after the first hearing on the merits, when Windermere</w:t>
      </w:r>
      <w:r w:rsidR="002E2746">
        <w:t xml:space="preserve"> disclosed that it</w:t>
      </w:r>
      <w:r w:rsidR="00BB0EAB">
        <w:t xml:space="preserve"> was recovering well over </w:t>
      </w:r>
      <w:r w:rsidR="00320190">
        <w:t xml:space="preserve">$171,337 to pay down its legal debt, did it become clear that more than Windermere’s base rates were suspect. </w:t>
      </w:r>
      <w:r w:rsidR="007759C6">
        <w:t xml:space="preserve">From that point on, </w:t>
      </w:r>
      <w:r w:rsidR="00320190">
        <w:t xml:space="preserve">Windermere’s entire revenue requirement was suspect, from its stated operating expenses to its projected income. </w:t>
      </w:r>
      <w:r w:rsidR="008A790A">
        <w:t>Windermere consistently misrepresented how much money it needed, how much money it made, and how much money it spent. As much as the PFD credit</w:t>
      </w:r>
      <w:r w:rsidR="002A28CC">
        <w:t xml:space="preserve">s Windermere for its “intention . . . to lower base rates as soon as the legal fees were fully paid in accordance with the payment agreements”, Staff is not in the habit of recommending approval of rates based on </w:t>
      </w:r>
      <w:r w:rsidR="002A28CC">
        <w:lastRenderedPageBreak/>
        <w:t>good intentions.</w:t>
      </w:r>
      <w:r w:rsidR="00981B2A">
        <w:t xml:space="preserve"> Further, </w:t>
      </w:r>
      <w:r w:rsidR="002F07CA">
        <w:t>a utility’s hope</w:t>
      </w:r>
      <w:r w:rsidR="00981B2A">
        <w:t xml:space="preserve"> to someday lower rates has no bearing on the reasonableness of existing rates.</w:t>
      </w:r>
    </w:p>
    <w:p w14:paraId="489D79DF" w14:textId="77777777" w:rsidR="005D4920" w:rsidRDefault="00E1598B" w:rsidP="00301E18">
      <w:pPr>
        <w:pStyle w:val="Style2"/>
        <w:keepNext w:val="0"/>
        <w:numPr>
          <w:ilvl w:val="1"/>
          <w:numId w:val="13"/>
        </w:numPr>
        <w:spacing w:line="240" w:lineRule="auto"/>
        <w:jc w:val="both"/>
      </w:pPr>
      <w:bookmarkStart w:id="16" w:name="_Toc140498311"/>
      <w:r>
        <w:t>System Customer Characteristics (PO Issue 1)</w:t>
      </w:r>
      <w:bookmarkEnd w:id="16"/>
    </w:p>
    <w:p w14:paraId="5C594D41" w14:textId="77777777" w:rsidR="00E1598B" w:rsidRDefault="00E1598B" w:rsidP="00301E18">
      <w:pPr>
        <w:pStyle w:val="Style2"/>
        <w:keepNext w:val="0"/>
        <w:numPr>
          <w:ilvl w:val="2"/>
          <w:numId w:val="13"/>
        </w:numPr>
        <w:spacing w:line="240" w:lineRule="auto"/>
        <w:jc w:val="both"/>
      </w:pPr>
      <w:bookmarkStart w:id="17" w:name="_Toc140498312"/>
      <w:r>
        <w:t>Staff’s Position</w:t>
      </w:r>
      <w:bookmarkEnd w:id="17"/>
    </w:p>
    <w:p w14:paraId="68F5B05F" w14:textId="77777777" w:rsidR="00E1598B" w:rsidRDefault="00E1598B" w:rsidP="00301E18">
      <w:pPr>
        <w:pStyle w:val="Style2"/>
        <w:keepNext w:val="0"/>
        <w:numPr>
          <w:ilvl w:val="2"/>
          <w:numId w:val="13"/>
        </w:numPr>
        <w:spacing w:line="240" w:lineRule="auto"/>
        <w:jc w:val="both"/>
      </w:pPr>
      <w:bookmarkStart w:id="18" w:name="_Toc140498313"/>
      <w:r>
        <w:t>Ratepayers’ Position</w:t>
      </w:r>
      <w:bookmarkEnd w:id="18"/>
    </w:p>
    <w:p w14:paraId="347C0CB8" w14:textId="77777777" w:rsidR="00E1598B" w:rsidRDefault="00E1598B" w:rsidP="00301E18">
      <w:pPr>
        <w:pStyle w:val="Style2"/>
        <w:keepNext w:val="0"/>
        <w:numPr>
          <w:ilvl w:val="2"/>
          <w:numId w:val="13"/>
        </w:numPr>
        <w:spacing w:line="240" w:lineRule="auto"/>
        <w:jc w:val="both"/>
      </w:pPr>
      <w:bookmarkStart w:id="19" w:name="_Toc140498314"/>
      <w:r>
        <w:t>Windermere’s Position</w:t>
      </w:r>
      <w:bookmarkEnd w:id="19"/>
    </w:p>
    <w:p w14:paraId="1600D161" w14:textId="77777777" w:rsidR="00E1598B" w:rsidRDefault="00E1598B" w:rsidP="00301E18">
      <w:pPr>
        <w:pStyle w:val="Style2"/>
        <w:keepNext w:val="0"/>
        <w:numPr>
          <w:ilvl w:val="2"/>
          <w:numId w:val="13"/>
        </w:numPr>
        <w:spacing w:line="240" w:lineRule="auto"/>
        <w:jc w:val="both"/>
      </w:pPr>
      <w:bookmarkStart w:id="20" w:name="_Toc140498315"/>
      <w:r>
        <w:t>Analysis</w:t>
      </w:r>
      <w:bookmarkEnd w:id="20"/>
    </w:p>
    <w:p w14:paraId="386D243F" w14:textId="77777777" w:rsidR="00E1598B" w:rsidRDefault="00E1598B" w:rsidP="00301E18">
      <w:pPr>
        <w:pStyle w:val="Style2"/>
        <w:keepNext w:val="0"/>
        <w:numPr>
          <w:ilvl w:val="1"/>
          <w:numId w:val="13"/>
        </w:numPr>
        <w:spacing w:line="240" w:lineRule="auto"/>
        <w:jc w:val="both"/>
      </w:pPr>
      <w:bookmarkStart w:id="21" w:name="_Toc140498316"/>
      <w:r>
        <w:t>Information Available After Windermere’s Rate Decision</w:t>
      </w:r>
      <w:bookmarkEnd w:id="21"/>
    </w:p>
    <w:p w14:paraId="4E144C98" w14:textId="77777777" w:rsidR="00E1598B" w:rsidRDefault="00E1598B" w:rsidP="00301E18">
      <w:pPr>
        <w:pStyle w:val="Style2"/>
        <w:keepNext w:val="0"/>
        <w:numPr>
          <w:ilvl w:val="2"/>
          <w:numId w:val="13"/>
        </w:numPr>
        <w:spacing w:line="240" w:lineRule="auto"/>
        <w:jc w:val="both"/>
      </w:pPr>
      <w:bookmarkStart w:id="22" w:name="_Toc140498317"/>
      <w:r>
        <w:t>Paxton Lawsuit</w:t>
      </w:r>
      <w:bookmarkEnd w:id="22"/>
    </w:p>
    <w:p w14:paraId="7BCB3689" w14:textId="348FCC93" w:rsidR="00BE4DC1" w:rsidRPr="00BE4DC1" w:rsidRDefault="00BE4DC1" w:rsidP="00BE4DC1">
      <w:pPr>
        <w:spacing w:line="360" w:lineRule="auto"/>
        <w:ind w:firstLine="720"/>
      </w:pPr>
      <w:r>
        <w:t xml:space="preserve">After the Attorney General </w:t>
      </w:r>
      <w:proofErr w:type="gramStart"/>
      <w:r>
        <w:t>ruled</w:t>
      </w:r>
      <w:proofErr w:type="gramEnd"/>
      <w:r>
        <w:t xml:space="preserve"> that Windermere was required to release </w:t>
      </w:r>
      <w:r w:rsidR="006A32E8">
        <w:t>documents it claimed were privileged</w:t>
      </w:r>
      <w:r>
        <w:t xml:space="preserve">, Windermere sued the Attorney </w:t>
      </w:r>
      <w:r w:rsidR="00B474F8">
        <w:t>G</w:t>
      </w:r>
      <w:r>
        <w:t xml:space="preserve">eneral in order to avoid handing over </w:t>
      </w:r>
      <w:r w:rsidR="00C86A47">
        <w:t>financial records to its own members.</w:t>
      </w:r>
      <w:r w:rsidR="00E042B3">
        <w:rPr>
          <w:rStyle w:val="FootnoteReference"/>
        </w:rPr>
        <w:footnoteReference w:id="22"/>
      </w:r>
      <w:r w:rsidR="00C86A47">
        <w:t xml:space="preserve"> </w:t>
      </w:r>
      <w:r w:rsidR="00993C64">
        <w:t>F</w:t>
      </w:r>
      <w:r w:rsidR="008570EB">
        <w:t>acing disclosure of that same information</w:t>
      </w:r>
      <w:r w:rsidR="005A165B">
        <w:t xml:space="preserve"> following Staff’s </w:t>
      </w:r>
      <w:r w:rsidR="002023B4">
        <w:t xml:space="preserve">November 4, 2020 </w:t>
      </w:r>
      <w:r w:rsidR="005A165B">
        <w:t>motion to compel</w:t>
      </w:r>
      <w:r w:rsidR="008570EB">
        <w:t xml:space="preserve">, Windermere </w:t>
      </w:r>
      <w:r w:rsidR="00993C64">
        <w:t xml:space="preserve">then </w:t>
      </w:r>
      <w:r w:rsidR="008570EB">
        <w:t>chose to release</w:t>
      </w:r>
      <w:r w:rsidR="00292841">
        <w:t>, wholesale,</w:t>
      </w:r>
      <w:r w:rsidR="008570EB">
        <w:t xml:space="preserve"> the information that it had fought so hard to </w:t>
      </w:r>
      <w:r w:rsidR="00703215">
        <w:t xml:space="preserve">deny </w:t>
      </w:r>
      <w:r w:rsidR="00B474F8">
        <w:t>its</w:t>
      </w:r>
      <w:r w:rsidR="00703215">
        <w:t xml:space="preserve"> member</w:t>
      </w:r>
      <w:r w:rsidR="00B474F8">
        <w:t>s</w:t>
      </w:r>
      <w:r w:rsidR="00703215">
        <w:t>.</w:t>
      </w:r>
      <w:r w:rsidR="00292841">
        <w:t xml:space="preserve"> To summarize: Windermere denied its own members documents to which </w:t>
      </w:r>
      <w:r w:rsidR="00B474F8">
        <w:t>they were</w:t>
      </w:r>
      <w:r w:rsidR="00292841">
        <w:t xml:space="preserve"> entitled under </w:t>
      </w:r>
      <w:r w:rsidR="00785D45">
        <w:t>Windermere’s own Bylaws, sued the Attorney General in order to avoid turning over those documents, and then</w:t>
      </w:r>
      <w:r w:rsidR="00052810">
        <w:t>,</w:t>
      </w:r>
      <w:r w:rsidR="00785D45">
        <w:t xml:space="preserve"> ultimately, after much time and expense, turned over the invoices anyway.</w:t>
      </w:r>
    </w:p>
    <w:p w14:paraId="3DF8255F" w14:textId="77777777" w:rsidR="00E1598B" w:rsidRDefault="00E1598B" w:rsidP="00301E18">
      <w:pPr>
        <w:pStyle w:val="Style2"/>
        <w:keepNext w:val="0"/>
        <w:numPr>
          <w:ilvl w:val="2"/>
          <w:numId w:val="13"/>
        </w:numPr>
        <w:spacing w:line="240" w:lineRule="auto"/>
        <w:jc w:val="both"/>
      </w:pPr>
      <w:bookmarkStart w:id="23" w:name="_Toc140498318"/>
      <w:r>
        <w:t>Double F Hanga</w:t>
      </w:r>
      <w:r w:rsidR="00DE639A">
        <w:t>r Lawsuit</w:t>
      </w:r>
      <w:bookmarkEnd w:id="23"/>
    </w:p>
    <w:p w14:paraId="73BE943C" w14:textId="750FDC7F" w:rsidR="00031E31" w:rsidRPr="00031E31" w:rsidRDefault="00031E31" w:rsidP="007C0A06">
      <w:pPr>
        <w:spacing w:line="360" w:lineRule="auto"/>
        <w:ind w:firstLine="720"/>
      </w:pPr>
      <w:r>
        <w:t xml:space="preserve">In the </w:t>
      </w:r>
      <w:r w:rsidR="007935E3">
        <w:rPr>
          <w:i/>
          <w:iCs/>
        </w:rPr>
        <w:t>Double F Hangar</w:t>
      </w:r>
      <w:r>
        <w:rPr>
          <w:i/>
          <w:iCs/>
        </w:rPr>
        <w:t xml:space="preserve"> </w:t>
      </w:r>
      <w:r>
        <w:t xml:space="preserve">lawsuit, </w:t>
      </w:r>
      <w:r w:rsidR="007935E3">
        <w:t xml:space="preserve">a group of members, using their own resources to pay for legal representation, sought to have </w:t>
      </w:r>
      <w:r w:rsidR="00052810">
        <w:t>the Dana Martin</w:t>
      </w:r>
      <w:r w:rsidR="007935E3">
        <w:t xml:space="preserve"> </w:t>
      </w:r>
      <w:r w:rsidR="007C0A06">
        <w:t>land deal overturned</w:t>
      </w:r>
      <w:r w:rsidR="00E63A98">
        <w:t xml:space="preserve"> so that it could be</w:t>
      </w:r>
      <w:r w:rsidR="006D62BE">
        <w:t xml:space="preserve"> sold for market value.</w:t>
      </w:r>
      <w:r w:rsidR="00E63A98">
        <w:rPr>
          <w:rStyle w:val="FootnoteReference"/>
        </w:rPr>
        <w:footnoteReference w:id="23"/>
      </w:r>
      <w:r w:rsidR="006D62BE">
        <w:t xml:space="preserve"> </w:t>
      </w:r>
      <w:r w:rsidR="007C0A06">
        <w:t>If those members had not spent their own money, Windermere would not have recovered any of the amount by which Dana Martin underpaid for the property.</w:t>
      </w:r>
      <w:r w:rsidR="000B698E">
        <w:t xml:space="preserve"> </w:t>
      </w:r>
      <w:r w:rsidR="007A2CCB">
        <w:t>While Windermere initially in</w:t>
      </w:r>
      <w:r w:rsidR="006015E6">
        <w:t>dicated that it would “have no choice to pursue all available avenues of relief, including pursuing litigation against Ms. Martin</w:t>
      </w:r>
      <w:r w:rsidR="006F2CB7">
        <w:t>”</w:t>
      </w:r>
      <w:r w:rsidR="008C05D3">
        <w:rPr>
          <w:rStyle w:val="FootnoteReference"/>
        </w:rPr>
        <w:footnoteReference w:id="24"/>
      </w:r>
      <w:r w:rsidR="006F2CB7">
        <w:t>, it changed tack shortly thereafter</w:t>
      </w:r>
      <w:r w:rsidR="006E1E55">
        <w:t>.</w:t>
      </w:r>
      <w:r w:rsidR="009C4DBD">
        <w:rPr>
          <w:rStyle w:val="FootnoteReference"/>
        </w:rPr>
        <w:footnoteReference w:id="25"/>
      </w:r>
      <w:r w:rsidR="006E1E55">
        <w:t xml:space="preserve"> Instead, the responsibility for reclaiming Windermere’s lost asset, or appropriate compensation for that asset, fell to individual members, even as the Board, </w:t>
      </w:r>
      <w:r w:rsidR="00B064DF">
        <w:t xml:space="preserve">led by then-President Joe Gimenez, offered Ms. Martin additional acreage. </w:t>
      </w:r>
    </w:p>
    <w:p w14:paraId="7149C31F" w14:textId="77777777" w:rsidR="00DE639A" w:rsidRDefault="00DE639A" w:rsidP="00052810">
      <w:pPr>
        <w:pStyle w:val="Style2"/>
        <w:numPr>
          <w:ilvl w:val="2"/>
          <w:numId w:val="13"/>
        </w:numPr>
        <w:spacing w:line="240" w:lineRule="auto"/>
        <w:jc w:val="both"/>
      </w:pPr>
      <w:bookmarkStart w:id="24" w:name="_Toc140498319"/>
      <w:r>
        <w:lastRenderedPageBreak/>
        <w:t>Allied World Lawsuit</w:t>
      </w:r>
      <w:bookmarkEnd w:id="24"/>
    </w:p>
    <w:p w14:paraId="35CF69E2" w14:textId="6DB09620" w:rsidR="00B064DF" w:rsidRPr="00B064DF" w:rsidRDefault="00AA664F" w:rsidP="00AA664F">
      <w:pPr>
        <w:spacing w:line="360" w:lineRule="auto"/>
        <w:ind w:firstLine="720"/>
      </w:pPr>
      <w:r>
        <w:t>On or before July 21, 2023, Allied World, in response to a ruling by the Fifth Circuit, issued a check to Windermere for $678,812.05.</w:t>
      </w:r>
      <w:r w:rsidR="00BA549E">
        <w:rPr>
          <w:rStyle w:val="FootnoteReference"/>
        </w:rPr>
        <w:footnoteReference w:id="26"/>
      </w:r>
      <w:r w:rsidR="00C90EF5">
        <w:t xml:space="preserve"> Windermere has now recovered a huge </w:t>
      </w:r>
      <w:r w:rsidR="006819A0">
        <w:t>portion</w:t>
      </w:r>
      <w:r w:rsidR="00C90EF5">
        <w:t xml:space="preserve"> of the money that it insisted it needed to recover through it rates from a source other than its rates. </w:t>
      </w:r>
      <w:r w:rsidR="00616FBF">
        <w:t>Therefore, recovering the $678,812.05 through Windemere’s rates is no longer necessary. Alternatively, if</w:t>
      </w:r>
      <w:r w:rsidR="00C06D80">
        <w:t xml:space="preserve"> Windermere’s rates are just and reasonable, then this amount must be refunded to Windermere’s customers.</w:t>
      </w:r>
    </w:p>
    <w:p w14:paraId="711DD30C" w14:textId="77777777" w:rsidR="00DE639A" w:rsidRDefault="00DE639A" w:rsidP="00301E18">
      <w:pPr>
        <w:pStyle w:val="Style2"/>
        <w:keepNext w:val="0"/>
        <w:numPr>
          <w:ilvl w:val="2"/>
          <w:numId w:val="13"/>
        </w:numPr>
        <w:spacing w:line="240" w:lineRule="auto"/>
        <w:jc w:val="both"/>
      </w:pPr>
      <w:bookmarkStart w:id="25" w:name="_Toc140498320"/>
      <w:r>
        <w:t>Other Activities</w:t>
      </w:r>
      <w:bookmarkEnd w:id="25"/>
    </w:p>
    <w:p w14:paraId="20366C4C" w14:textId="77777777" w:rsidR="00DE639A" w:rsidRDefault="00DE639A" w:rsidP="00301E18">
      <w:pPr>
        <w:pStyle w:val="Style2"/>
        <w:keepNext w:val="0"/>
        <w:numPr>
          <w:ilvl w:val="2"/>
          <w:numId w:val="13"/>
        </w:numPr>
        <w:spacing w:line="240" w:lineRule="auto"/>
        <w:jc w:val="both"/>
      </w:pPr>
      <w:bookmarkStart w:id="26" w:name="_Toc140498321"/>
      <w:r>
        <w:t>Legal Expenses</w:t>
      </w:r>
      <w:bookmarkEnd w:id="26"/>
    </w:p>
    <w:p w14:paraId="62E559AD" w14:textId="77777777" w:rsidR="00CF43D1" w:rsidRPr="00E83FC7" w:rsidRDefault="00C41B68" w:rsidP="00CF43D1">
      <w:pPr>
        <w:spacing w:line="480" w:lineRule="auto"/>
        <w:ind w:firstLine="720"/>
        <w:rPr>
          <w:i/>
          <w:iCs/>
        </w:rPr>
      </w:pPr>
      <w:r>
        <w:t xml:space="preserve">Based on its most recent update of costs of appeal, </w:t>
      </w:r>
      <w:r w:rsidR="00CF43D1">
        <w:t>Windermere’s legal expenses</w:t>
      </w:r>
      <w:r w:rsidR="00E83FC7">
        <w:t xml:space="preserve"> now sit at $1,964,066.</w:t>
      </w:r>
      <w:r>
        <w:rPr>
          <w:rStyle w:val="FootnoteReference"/>
        </w:rPr>
        <w:footnoteReference w:id="27"/>
      </w:r>
    </w:p>
    <w:p w14:paraId="13AE3949" w14:textId="77777777" w:rsidR="00DE639A" w:rsidRDefault="00DE639A" w:rsidP="00301E18">
      <w:pPr>
        <w:pStyle w:val="Style2"/>
        <w:keepNext w:val="0"/>
        <w:numPr>
          <w:ilvl w:val="1"/>
          <w:numId w:val="13"/>
        </w:numPr>
        <w:spacing w:line="240" w:lineRule="auto"/>
        <w:jc w:val="both"/>
      </w:pPr>
      <w:bookmarkStart w:id="27" w:name="_Toc140498322"/>
      <w:r>
        <w:t>Revenue Requirement (PO Issue 7)</w:t>
      </w:r>
      <w:bookmarkEnd w:id="27"/>
    </w:p>
    <w:p w14:paraId="1DD86D87" w14:textId="7C7DA06B" w:rsidR="00C15F77" w:rsidRDefault="002C286B" w:rsidP="002F0204">
      <w:pPr>
        <w:spacing w:line="360" w:lineRule="auto"/>
        <w:ind w:firstLine="720"/>
      </w:pPr>
      <w:r>
        <w:t xml:space="preserve">In its discussion of Windermere’s revenue requirement, the PFD again misunderstands </w:t>
      </w:r>
      <w:r w:rsidR="0093374D">
        <w:t xml:space="preserve">the nature of Windermere’s rates and the nature of this appeal. First, the appealed rates do not meet a revenue requirement of </w:t>
      </w:r>
      <w:r w:rsidR="00667F59">
        <w:t>$576,192.</w:t>
      </w:r>
      <w:r w:rsidR="009C0D02">
        <w:rPr>
          <w:rStyle w:val="FootnoteReference"/>
        </w:rPr>
        <w:footnoteReference w:id="28"/>
      </w:r>
      <w:r w:rsidR="00667F59">
        <w:t xml:space="preserve"> </w:t>
      </w:r>
      <w:r w:rsidR="0077201B">
        <w:t xml:space="preserve">Second, </w:t>
      </w:r>
      <w:r w:rsidR="00706170">
        <w:t xml:space="preserve">it is not only the inclusion of outside legal expenses that are at issue. </w:t>
      </w:r>
      <w:r w:rsidR="00436497">
        <w:t xml:space="preserve">The PFD takes </w:t>
      </w:r>
      <w:r w:rsidR="00C15F77">
        <w:t>Staff</w:t>
      </w:r>
      <w:r w:rsidR="00436497">
        <w:t xml:space="preserve">’s statement that the TRWA </w:t>
      </w:r>
      <w:r w:rsidR="00D000FC">
        <w:t xml:space="preserve">non-legal </w:t>
      </w:r>
      <w:r w:rsidR="00436497">
        <w:t xml:space="preserve">expenses can be </w:t>
      </w:r>
      <w:r w:rsidR="009D6EE0">
        <w:t>verified by c</w:t>
      </w:r>
      <w:r w:rsidR="00D000FC">
        <w:t>omparing</w:t>
      </w:r>
      <w:r w:rsidR="009D6EE0">
        <w:t xml:space="preserve"> them </w:t>
      </w:r>
      <w:r w:rsidR="00D000FC">
        <w:t>to</w:t>
      </w:r>
      <w:r w:rsidR="009D6EE0">
        <w:t xml:space="preserve"> the</w:t>
      </w:r>
      <w:r w:rsidR="00B44015">
        <w:t xml:space="preserve"> 2019 year-end financials </w:t>
      </w:r>
      <w:r w:rsidR="009D6EE0">
        <w:t xml:space="preserve">to mean that all inquiries end </w:t>
      </w:r>
      <w:r w:rsidR="00D000FC">
        <w:t>there</w:t>
      </w:r>
      <w:r w:rsidR="00DA4F24">
        <w:t>.</w:t>
      </w:r>
      <w:r w:rsidR="00D000FC">
        <w:t xml:space="preserve"> </w:t>
      </w:r>
      <w:r w:rsidR="00E15999">
        <w:t>Just because some of the numbers from the TRWA study match some of the numbers in the</w:t>
      </w:r>
      <w:r w:rsidR="002640E3">
        <w:t xml:space="preserve"> 2019</w:t>
      </w:r>
      <w:r w:rsidR="00E15999">
        <w:t xml:space="preserve"> year-end financials does not mean that the </w:t>
      </w:r>
      <w:r w:rsidR="00125212">
        <w:t xml:space="preserve">one </w:t>
      </w:r>
      <w:r w:rsidR="00D92988">
        <w:t xml:space="preserve">mismatched </w:t>
      </w:r>
      <w:r w:rsidR="00125212">
        <w:t xml:space="preserve">category </w:t>
      </w:r>
      <w:r w:rsidR="00D92988">
        <w:t>is</w:t>
      </w:r>
      <w:r w:rsidR="00125212">
        <w:t xml:space="preserve"> the only issue.</w:t>
      </w:r>
    </w:p>
    <w:p w14:paraId="1F429769" w14:textId="23EF49BF" w:rsidR="00487FDF" w:rsidRDefault="00D14D08" w:rsidP="002F0204">
      <w:pPr>
        <w:spacing w:line="360" w:lineRule="auto"/>
        <w:ind w:firstLine="720"/>
      </w:pPr>
      <w:r>
        <w:t xml:space="preserve">It is perhaps easier to conceptualize if the TRWA study is removed from the examination of the rates altogether. </w:t>
      </w:r>
      <w:r w:rsidR="00FE17A8">
        <w:t>Staff cannot emphasize this enough</w:t>
      </w:r>
      <w:r w:rsidR="00D000FC">
        <w:t>:</w:t>
      </w:r>
      <w:r w:rsidR="00FE17A8">
        <w:t xml:space="preserve"> </w:t>
      </w:r>
      <w:r w:rsidR="00D000FC">
        <w:t>t</w:t>
      </w:r>
      <w:r w:rsidR="00FE17A8">
        <w:t xml:space="preserve">he TRWA rate study is without value. </w:t>
      </w:r>
      <w:r w:rsidR="00DA4F24">
        <w:t xml:space="preserve">It does not accurately </w:t>
      </w:r>
      <w:r w:rsidR="003E6D6F">
        <w:t xml:space="preserve">capture </w:t>
      </w:r>
      <w:r w:rsidR="005C6421">
        <w:t>Windermere’s</w:t>
      </w:r>
      <w:r w:rsidR="003E6D6F">
        <w:t xml:space="preserve"> financial position, nor does it </w:t>
      </w:r>
      <w:r w:rsidR="002640E3">
        <w:t>accurately</w:t>
      </w:r>
      <w:r w:rsidR="003E6D6F">
        <w:t xml:space="preserve"> capture Windermere’s cost of providing service. Windermere’s rates do not stem from the TRWA study</w:t>
      </w:r>
      <w:r w:rsidR="00590D69">
        <w:t>; t</w:t>
      </w:r>
      <w:r w:rsidR="003E6D6F">
        <w:t>he</w:t>
      </w:r>
      <w:r w:rsidR="0007608F">
        <w:t>y</w:t>
      </w:r>
      <w:r w:rsidR="003E6D6F">
        <w:t xml:space="preserve"> are not connected</w:t>
      </w:r>
      <w:r w:rsidR="00CA4FE3">
        <w:t xml:space="preserve"> to the TRWA study in any way</w:t>
      </w:r>
      <w:r w:rsidR="00A11A54">
        <w:t>.</w:t>
      </w:r>
      <w:r w:rsidR="00B368B9">
        <w:rPr>
          <w:rStyle w:val="FootnoteReference"/>
        </w:rPr>
        <w:footnoteReference w:id="29"/>
      </w:r>
    </w:p>
    <w:p w14:paraId="12EE9CE0" w14:textId="369D2AA5" w:rsidR="002F0204" w:rsidRDefault="00CA4FE3" w:rsidP="002F0204">
      <w:pPr>
        <w:spacing w:line="360" w:lineRule="auto"/>
        <w:ind w:firstLine="720"/>
      </w:pPr>
      <w:r>
        <w:lastRenderedPageBreak/>
        <w:t xml:space="preserve">This </w:t>
      </w:r>
      <w:r w:rsidR="00590D69">
        <w:t xml:space="preserve">again </w:t>
      </w:r>
      <w:r>
        <w:t>only became clear</w:t>
      </w:r>
      <w:r w:rsidR="005C6421">
        <w:t xml:space="preserve"> well</w:t>
      </w:r>
      <w:r>
        <w:t xml:space="preserve"> after the first hearing on the merits</w:t>
      </w:r>
      <w:r w:rsidR="00AB7DB6">
        <w:t>.</w:t>
      </w:r>
      <w:r w:rsidR="005C6421">
        <w:t xml:space="preserve"> </w:t>
      </w:r>
      <w:r w:rsidR="006B421B">
        <w:t>Windermere initially insisted that “[p]resent or future litigation expenses which were not used to develop the rates adopted in 2020 are irrelevant to this proceeding.”</w:t>
      </w:r>
      <w:r w:rsidR="006B421B">
        <w:rPr>
          <w:rStyle w:val="FootnoteReference"/>
        </w:rPr>
        <w:footnoteReference w:id="30"/>
      </w:r>
      <w:r w:rsidR="006B421B">
        <w:t xml:space="preserve"> </w:t>
      </w:r>
      <w:r w:rsidR="00D66EBC">
        <w:t xml:space="preserve">In reality, future legal expenses </w:t>
      </w:r>
      <w:r w:rsidR="00D66EBC" w:rsidRPr="00D66EBC">
        <w:rPr>
          <w:i/>
          <w:iCs/>
        </w:rPr>
        <w:t>were</w:t>
      </w:r>
      <w:r w:rsidR="00D66EBC">
        <w:t xml:space="preserve"> used to develop the rates. </w:t>
      </w:r>
      <w:r w:rsidR="00AB7DB6" w:rsidRPr="00D66EBC">
        <w:t>I</w:t>
      </w:r>
      <w:r w:rsidR="005C6421" w:rsidRPr="00D66EBC">
        <w:t>t</w:t>
      </w:r>
      <w:r w:rsidR="005C6421">
        <w:t xml:space="preserve"> was not until </w:t>
      </w:r>
      <w:r w:rsidR="00AB7DB6">
        <w:t>January</w:t>
      </w:r>
      <w:r w:rsidR="00F9328C">
        <w:t> </w:t>
      </w:r>
      <w:r w:rsidR="00AB7DB6">
        <w:t>9, 2023, almost t</w:t>
      </w:r>
      <w:r w:rsidR="00CA0326">
        <w:t>hree</w:t>
      </w:r>
      <w:r w:rsidR="00AB7DB6">
        <w:t xml:space="preserve"> years after the ratepayers initiated this appeal, that Windermere acknowledged that its </w:t>
      </w:r>
      <w:r w:rsidR="007478AC">
        <w:t>revenue requirement included $250,000 in legal expenses</w:t>
      </w:r>
      <w:r w:rsidR="00D66EBC">
        <w:t>, which had yet to be incurred,</w:t>
      </w:r>
      <w:r w:rsidR="007478AC">
        <w:t xml:space="preserve"> and that its rates were not designed to recover $171,</w:t>
      </w:r>
      <w:r w:rsidR="00B575EE">
        <w:t>337.</w:t>
      </w:r>
      <w:r w:rsidR="00B575EE">
        <w:rPr>
          <w:rStyle w:val="FootnoteReference"/>
        </w:rPr>
        <w:footnoteReference w:id="31"/>
      </w:r>
      <w:r w:rsidR="00B575EE">
        <w:t xml:space="preserve"> </w:t>
      </w:r>
      <w:r w:rsidR="00D66100">
        <w:t xml:space="preserve">It was </w:t>
      </w:r>
      <w:r w:rsidR="00332371">
        <w:t>not until March 10, 2023</w:t>
      </w:r>
      <w:r w:rsidR="00D66100">
        <w:t xml:space="preserve"> that Windermere</w:t>
      </w:r>
      <w:r w:rsidR="00DF7620">
        <w:t xml:space="preserve"> supplemented its response to Staff 1-11, </w:t>
      </w:r>
      <w:r w:rsidR="00816BC1">
        <w:t>stating that it looked at the TRWA rates, saw a shortfall of $174,515, and adjusted the rates accordingly</w:t>
      </w:r>
      <w:r w:rsidR="005B30B5">
        <w:t>.</w:t>
      </w:r>
      <w:r w:rsidR="005B30B5">
        <w:rPr>
          <w:rStyle w:val="FootnoteReference"/>
        </w:rPr>
        <w:footnoteReference w:id="32"/>
      </w:r>
      <w:r w:rsidR="004B49D0">
        <w:t xml:space="preserve"> </w:t>
      </w:r>
      <w:r w:rsidR="005B30B5">
        <w:t>S</w:t>
      </w:r>
      <w:r w:rsidR="00560802">
        <w:t>imultaneously</w:t>
      </w:r>
      <w:r w:rsidR="005B30B5">
        <w:t>, Windermere</w:t>
      </w:r>
      <w:r w:rsidR="00560802">
        <w:t xml:space="preserve"> claim</w:t>
      </w:r>
      <w:r w:rsidR="005B30B5">
        <w:t>s</w:t>
      </w:r>
      <w:r w:rsidR="00560802">
        <w:t xml:space="preserve"> that the TRWA rates resulted in a shortfall while also </w:t>
      </w:r>
      <w:r w:rsidR="00B955BA">
        <w:t xml:space="preserve">celebrating the fact that it adopted rates lower than those recommended by TRWA. Somehow, the TRWA rates would not make enough money for Windermere to pay its bills, but at the same time, Windermere was able to adopt </w:t>
      </w:r>
      <w:r w:rsidR="00E14F47">
        <w:t>lower rates</w:t>
      </w:r>
      <w:r w:rsidR="00D34A36">
        <w:t>.</w:t>
      </w:r>
      <w:r w:rsidR="00E14F47">
        <w:t xml:space="preserve"> </w:t>
      </w:r>
      <w:r w:rsidR="00D65087">
        <w:t xml:space="preserve">It sounds illogical because it is. </w:t>
      </w:r>
      <w:r w:rsidR="00647667">
        <w:t>Rates that result in a shortfall cannot</w:t>
      </w:r>
      <w:r w:rsidR="00962B9D">
        <w:t xml:space="preserve"> be</w:t>
      </w:r>
      <w:r w:rsidR="00647667">
        <w:t xml:space="preserve"> simultaneously</w:t>
      </w:r>
      <w:r w:rsidR="00962B9D">
        <w:t xml:space="preserve"> </w:t>
      </w:r>
      <w:r w:rsidR="00647667">
        <w:t>lowered</w:t>
      </w:r>
      <w:r w:rsidR="00962B9D">
        <w:t xml:space="preserve"> to lessen the burden on customers while also being </w:t>
      </w:r>
      <w:r w:rsidR="00611F34">
        <w:t>raised to address the projected shortfall.</w:t>
      </w:r>
      <w:r w:rsidR="00611F34">
        <w:rPr>
          <w:rStyle w:val="FootnoteReference"/>
        </w:rPr>
        <w:footnoteReference w:id="33"/>
      </w:r>
    </w:p>
    <w:p w14:paraId="67050621" w14:textId="3E34BF72" w:rsidR="004824F3" w:rsidRDefault="00D65087" w:rsidP="002F0204">
      <w:pPr>
        <w:spacing w:line="360" w:lineRule="auto"/>
        <w:ind w:firstLine="720"/>
      </w:pPr>
      <w:r>
        <w:t>The TRWA study</w:t>
      </w:r>
      <w:r w:rsidR="00DB7F9B">
        <w:t>, for all practical purposes, is useless</w:t>
      </w:r>
      <w:r>
        <w:t xml:space="preserve">. </w:t>
      </w:r>
      <w:r w:rsidR="009614A2">
        <w:t>For over a year, it confused the issue</w:t>
      </w:r>
      <w:r w:rsidR="00F57727">
        <w:t>s in this docket</w:t>
      </w:r>
      <w:r w:rsidR="009614A2">
        <w:t xml:space="preserve">. For a year, Windermere said that the TRWA was the basis of the rates. </w:t>
      </w:r>
      <w:r w:rsidR="00B62E62">
        <w:t>It is not</w:t>
      </w:r>
      <w:r w:rsidR="009614A2">
        <w:t>. The budget is the basis for the rates.</w:t>
      </w:r>
      <w:r w:rsidR="00CC2C6B">
        <w:t xml:space="preserve"> The budget is comprised of expenses that, in some categories, dwarf the 2019 year-end financials</w:t>
      </w:r>
      <w:r w:rsidR="00F57727">
        <w:t xml:space="preserve"> without any justification</w:t>
      </w:r>
      <w:r w:rsidR="00CC2C6B">
        <w:t xml:space="preserve">. </w:t>
      </w:r>
      <w:r w:rsidR="00CC2C6B">
        <w:rPr>
          <w:rStyle w:val="FootnoteReference"/>
        </w:rPr>
        <w:footnoteReference w:id="34"/>
      </w:r>
      <w:r w:rsidR="00240ACF">
        <w:t xml:space="preserve"> The budget reflects revenues that, in some categories, are dramatically lower than the 2019 year-end financials</w:t>
      </w:r>
      <w:r w:rsidR="00F57727">
        <w:t xml:space="preserve"> without any justification</w:t>
      </w:r>
      <w:r w:rsidR="00240ACF">
        <w:t>.</w:t>
      </w:r>
      <w:r w:rsidR="00240ACF">
        <w:rPr>
          <w:rStyle w:val="FootnoteReference"/>
        </w:rPr>
        <w:footnoteReference w:id="35"/>
      </w:r>
      <w:r w:rsidR="00240ACF">
        <w:t xml:space="preserve"> </w:t>
      </w:r>
      <w:r w:rsidR="00212B72">
        <w:t>The budget in</w:t>
      </w:r>
      <w:r w:rsidR="00B62E62">
        <w:t>dicates</w:t>
      </w:r>
      <w:r w:rsidR="00212B72">
        <w:t xml:space="preserve"> an overall revenue requirement of $643,565</w:t>
      </w:r>
      <w:r w:rsidR="00CB2974">
        <w:t xml:space="preserve">, which is </w:t>
      </w:r>
      <w:r w:rsidR="00B15462">
        <w:t>significantly more than Windermere’s 2019 expenses.</w:t>
      </w:r>
      <w:r w:rsidR="00212B72">
        <w:rPr>
          <w:rStyle w:val="FootnoteReference"/>
        </w:rPr>
        <w:footnoteReference w:id="36"/>
      </w:r>
      <w:r w:rsidR="00B15462">
        <w:t xml:space="preserve"> Windermere </w:t>
      </w:r>
      <w:r w:rsidR="00F57727">
        <w:t>budgeted other revenues of</w:t>
      </w:r>
      <w:r w:rsidR="00B15462">
        <w:t xml:space="preserve"> </w:t>
      </w:r>
      <w:r w:rsidR="00284D4D">
        <w:t xml:space="preserve">$79,500, </w:t>
      </w:r>
      <w:r w:rsidR="003423E8">
        <w:t>which would leave</w:t>
      </w:r>
      <w:r w:rsidR="00284D4D">
        <w:t xml:space="preserve"> $564,515 </w:t>
      </w:r>
      <w:r w:rsidR="003423E8">
        <w:t>to be recovered</w:t>
      </w:r>
      <w:r w:rsidR="00284D4D">
        <w:t xml:space="preserve"> from water and sewer services.</w:t>
      </w:r>
      <w:r w:rsidR="00E364A2">
        <w:rPr>
          <w:rStyle w:val="FootnoteReference"/>
        </w:rPr>
        <w:footnoteReference w:id="37"/>
      </w:r>
      <w:r w:rsidR="00BB04C6">
        <w:t xml:space="preserve"> This </w:t>
      </w:r>
      <w:r w:rsidR="00BB04C6">
        <w:lastRenderedPageBreak/>
        <w:t>amount</w:t>
      </w:r>
      <w:r w:rsidR="00590D69">
        <w:t>, again,</w:t>
      </w:r>
      <w:r w:rsidR="00BB04C6">
        <w:t xml:space="preserve"> does not align with the TRWA study in any way. </w:t>
      </w:r>
      <w:r w:rsidR="008C2D15">
        <w:t>Staff would also note that Windermere simultaneously stated that it had not used offsets to calculate its rates because those amounts were insignificant,</w:t>
      </w:r>
      <w:r w:rsidR="008C2D15">
        <w:rPr>
          <w:rStyle w:val="FootnoteReference"/>
        </w:rPr>
        <w:footnoteReference w:id="38"/>
      </w:r>
      <w:r w:rsidR="008C2D15">
        <w:t xml:space="preserve"> while also claiming that it used the 2020 budget, which did include other revenues, to set its rates.</w:t>
      </w:r>
      <w:r w:rsidR="008C2D15">
        <w:rPr>
          <w:rStyle w:val="FootnoteReference"/>
        </w:rPr>
        <w:footnoteReference w:id="39"/>
      </w:r>
      <w:r w:rsidR="008C2D15">
        <w:t xml:space="preserve"> Ultimately, t</w:t>
      </w:r>
      <w:r w:rsidR="00BB04C6">
        <w:t>he</w:t>
      </w:r>
      <w:r w:rsidR="003423E8">
        <w:t xml:space="preserve"> existing rates recover $596,199</w:t>
      </w:r>
      <w:r w:rsidR="002A1B6F">
        <w:t xml:space="preserve">: </w:t>
      </w:r>
      <w:r w:rsidR="00EE0E4A">
        <w:t xml:space="preserve">base rates </w:t>
      </w:r>
      <w:r w:rsidR="002A1B6F">
        <w:t>generate</w:t>
      </w:r>
      <w:r w:rsidR="00BB04C6">
        <w:t xml:space="preserve"> $</w:t>
      </w:r>
      <w:r w:rsidR="00EE0E4A">
        <w:t>489,193,</w:t>
      </w:r>
      <w:r w:rsidR="00FA6EEE">
        <w:rPr>
          <w:rStyle w:val="FootnoteReference"/>
        </w:rPr>
        <w:footnoteReference w:id="40"/>
      </w:r>
      <w:r w:rsidR="00EE0E4A">
        <w:t xml:space="preserve"> </w:t>
      </w:r>
      <w:r w:rsidR="006C4780">
        <w:t xml:space="preserve">and </w:t>
      </w:r>
      <w:r w:rsidR="00EE0E4A">
        <w:t xml:space="preserve">the volumetric revenue from 2019 was </w:t>
      </w:r>
      <w:r w:rsidR="00FA6EEE">
        <w:t>$107,006</w:t>
      </w:r>
      <w:r w:rsidR="006C4780">
        <w:t>.</w:t>
      </w:r>
      <w:r w:rsidR="00FA6EEE">
        <w:rPr>
          <w:rStyle w:val="FootnoteReference"/>
        </w:rPr>
        <w:footnoteReference w:id="41"/>
      </w:r>
      <w:r w:rsidR="00BB04C6">
        <w:t xml:space="preserve"> </w:t>
      </w:r>
      <w:r w:rsidR="006C4780">
        <w:t>This is</w:t>
      </w:r>
      <w:r w:rsidR="00590D69">
        <w:t xml:space="preserve"> also</w:t>
      </w:r>
      <w:r w:rsidR="006C4780">
        <w:t xml:space="preserve"> not represented in the TRWA study in any way. </w:t>
      </w:r>
    </w:p>
    <w:p w14:paraId="46C90823" w14:textId="0961BCDB" w:rsidR="00E14F47" w:rsidRPr="002F0204" w:rsidRDefault="00D65087" w:rsidP="002F0204">
      <w:pPr>
        <w:spacing w:line="360" w:lineRule="auto"/>
        <w:ind w:firstLine="720"/>
      </w:pPr>
      <w:r>
        <w:t xml:space="preserve">This proceeding would have been much simpler if </w:t>
      </w:r>
      <w:r w:rsidR="004824F3">
        <w:t>the TRWA study</w:t>
      </w:r>
      <w:r>
        <w:t xml:space="preserve"> had never been introduced into the record. </w:t>
      </w:r>
      <w:r w:rsidR="00AB40A3">
        <w:t>The expense categories do not match, one to one, the expense categories in the 2019 year end financials, nor do they match the categories or the amounts in the 2020 annual budget.</w:t>
      </w:r>
      <w:r w:rsidR="00AB40A3">
        <w:rPr>
          <w:rStyle w:val="FootnoteReference"/>
        </w:rPr>
        <w:footnoteReference w:id="42"/>
      </w:r>
      <w:r w:rsidR="00AB40A3">
        <w:t xml:space="preserve"> </w:t>
      </w:r>
      <w:r w:rsidR="00DB7F9B">
        <w:t>When it became clear that the TRWA study was a misdirection,</w:t>
      </w:r>
      <w:r w:rsidR="00D37DA7">
        <w:t xml:space="preserve"> </w:t>
      </w:r>
      <w:r w:rsidR="00540A05">
        <w:t>that Windermere was</w:t>
      </w:r>
      <w:r w:rsidR="00D37DA7">
        <w:t xml:space="preserve"> both</w:t>
      </w:r>
      <w:r w:rsidR="00540A05">
        <w:t xml:space="preserve"> recovering</w:t>
      </w:r>
      <w:r w:rsidR="00D37DA7">
        <w:t xml:space="preserve"> and spending</w:t>
      </w:r>
      <w:r w:rsidR="00540A05">
        <w:t xml:space="preserve"> far more money than it had initially indicated, this case </w:t>
      </w:r>
      <w:r w:rsidR="00C31D6C">
        <w:t xml:space="preserve">expanded to encompass Windermere’s actual revenue requirement, not </w:t>
      </w:r>
      <w:r w:rsidR="000B24C3">
        <w:t xml:space="preserve">just </w:t>
      </w:r>
      <w:r w:rsidR="00C31D6C">
        <w:t>the amount</w:t>
      </w:r>
      <w:r w:rsidR="000B24C3">
        <w:t xml:space="preserve"> for legal expenses</w:t>
      </w:r>
      <w:r w:rsidR="00C31D6C">
        <w:t xml:space="preserve"> that it had dropped into the TRWA study.</w:t>
      </w:r>
    </w:p>
    <w:p w14:paraId="294A12FD" w14:textId="77777777" w:rsidR="00DE639A" w:rsidRDefault="00DE639A" w:rsidP="00301E18">
      <w:pPr>
        <w:pStyle w:val="Style2"/>
        <w:keepNext w:val="0"/>
        <w:numPr>
          <w:ilvl w:val="2"/>
          <w:numId w:val="13"/>
        </w:numPr>
        <w:spacing w:line="240" w:lineRule="auto"/>
        <w:jc w:val="both"/>
      </w:pPr>
      <w:bookmarkStart w:id="28" w:name="_Toc140498323"/>
      <w:r>
        <w:t>Staff’s Position</w:t>
      </w:r>
      <w:bookmarkEnd w:id="28"/>
    </w:p>
    <w:p w14:paraId="19C73972" w14:textId="77777777" w:rsidR="00DE639A" w:rsidRDefault="00DE639A" w:rsidP="00301E18">
      <w:pPr>
        <w:pStyle w:val="Style2"/>
        <w:keepNext w:val="0"/>
        <w:numPr>
          <w:ilvl w:val="2"/>
          <w:numId w:val="13"/>
        </w:numPr>
        <w:spacing w:line="240" w:lineRule="auto"/>
        <w:jc w:val="both"/>
      </w:pPr>
      <w:bookmarkStart w:id="29" w:name="_Toc140498324"/>
      <w:r>
        <w:t>Ratepayers’ Position</w:t>
      </w:r>
      <w:bookmarkEnd w:id="29"/>
    </w:p>
    <w:p w14:paraId="0AF39379" w14:textId="77777777" w:rsidR="00DE639A" w:rsidRDefault="00DE639A" w:rsidP="00301E18">
      <w:pPr>
        <w:pStyle w:val="Style2"/>
        <w:keepNext w:val="0"/>
        <w:numPr>
          <w:ilvl w:val="2"/>
          <w:numId w:val="13"/>
        </w:numPr>
        <w:spacing w:line="240" w:lineRule="auto"/>
        <w:jc w:val="both"/>
      </w:pPr>
      <w:bookmarkStart w:id="30" w:name="_Toc140498325"/>
      <w:r>
        <w:t>Windermere’s Position</w:t>
      </w:r>
      <w:bookmarkEnd w:id="30"/>
    </w:p>
    <w:p w14:paraId="3D6D4041" w14:textId="77777777" w:rsidR="00DE639A" w:rsidRDefault="00DE639A" w:rsidP="00301E18">
      <w:pPr>
        <w:pStyle w:val="Style2"/>
        <w:keepNext w:val="0"/>
        <w:numPr>
          <w:ilvl w:val="2"/>
          <w:numId w:val="13"/>
        </w:numPr>
        <w:spacing w:line="240" w:lineRule="auto"/>
        <w:jc w:val="both"/>
      </w:pPr>
      <w:bookmarkStart w:id="31" w:name="_Toc140498326"/>
      <w:r>
        <w:t>Analysis</w:t>
      </w:r>
      <w:bookmarkEnd w:id="31"/>
    </w:p>
    <w:p w14:paraId="2346D967" w14:textId="77777777" w:rsidR="00DE639A" w:rsidRDefault="0034461C" w:rsidP="00301E18">
      <w:pPr>
        <w:pStyle w:val="Style2"/>
        <w:keepNext w:val="0"/>
        <w:numPr>
          <w:ilvl w:val="3"/>
          <w:numId w:val="13"/>
        </w:numPr>
        <w:spacing w:line="240" w:lineRule="auto"/>
        <w:jc w:val="both"/>
      </w:pPr>
      <w:bookmarkStart w:id="32" w:name="_Toc140498327"/>
      <w:r>
        <w:t>Legal Expenses</w:t>
      </w:r>
      <w:bookmarkEnd w:id="32"/>
    </w:p>
    <w:p w14:paraId="6BB34016" w14:textId="433EB625" w:rsidR="006E73E4" w:rsidRDefault="00F76329" w:rsidP="00F76329">
      <w:pPr>
        <w:spacing w:line="360" w:lineRule="auto"/>
        <w:ind w:firstLine="720"/>
      </w:pPr>
      <w:r>
        <w:t>The PFD states that the “evidence overwhelmingly shows that Windermere could not have avoided the legal expenses to defend itself and its directors.</w:t>
      </w:r>
      <w:r w:rsidR="0071161D">
        <w:t>”</w:t>
      </w:r>
      <w:r w:rsidR="0071161D">
        <w:rPr>
          <w:rStyle w:val="FootnoteReference"/>
        </w:rPr>
        <w:footnoteReference w:id="43"/>
      </w:r>
      <w:r w:rsidR="00F23F21">
        <w:t xml:space="preserve"> </w:t>
      </w:r>
      <w:r w:rsidR="00D1201E">
        <w:t>In truth, the evidence shows something very different: that Windermere chose not to avoid the extraord</w:t>
      </w:r>
      <w:r w:rsidR="00BA2CFE">
        <w:t xml:space="preserve">inary legal expenses that led to this appeal. </w:t>
      </w:r>
      <w:r w:rsidR="00400162">
        <w:t>Yes,</w:t>
      </w:r>
      <w:r w:rsidR="00591E3F">
        <w:t xml:space="preserve"> Windermere legally obligated to indemnify its directors once they were cleared of any wrongdoing</w:t>
      </w:r>
      <w:r w:rsidR="00400162">
        <w:t>.</w:t>
      </w:r>
      <w:r w:rsidR="00591E3F">
        <w:t xml:space="preserve"> </w:t>
      </w:r>
      <w:r w:rsidR="00400162">
        <w:t>The evidence overwhelmingly shows that Windermere did not</w:t>
      </w:r>
      <w:r w:rsidR="00591E3F">
        <w:t xml:space="preserve"> have to advance all the </w:t>
      </w:r>
      <w:r w:rsidR="00C63F6F">
        <w:t xml:space="preserve">directors’ expenses before they were cleared of wrongdoing. Windermere certainly did not have to spend to the extent that it did. </w:t>
      </w:r>
      <w:r w:rsidR="009C283D">
        <w:t>Further, while “[a]</w:t>
      </w:r>
      <w:proofErr w:type="spellStart"/>
      <w:r w:rsidR="009C283D">
        <w:t>dvancement</w:t>
      </w:r>
      <w:proofErr w:type="spellEnd"/>
      <w:r w:rsidR="009C283D">
        <w:t xml:space="preserve"> of expenses </w:t>
      </w:r>
      <w:r w:rsidR="009C283D">
        <w:lastRenderedPageBreak/>
        <w:t xml:space="preserve">is an important corollary to indemnification in attracting officers, as it provides immediate interim relief from the personal legal expenses,” the PFD cites a case involving a for-profit LLC, not a humble water supply corporation. </w:t>
      </w:r>
    </w:p>
    <w:p w14:paraId="700F0B73" w14:textId="123AC277" w:rsidR="0028316F" w:rsidRDefault="002F68D9" w:rsidP="00F76329">
      <w:pPr>
        <w:spacing w:line="360" w:lineRule="auto"/>
        <w:ind w:firstLine="720"/>
      </w:pPr>
      <w:r>
        <w:t xml:space="preserve">If it </w:t>
      </w:r>
      <w:r w:rsidR="006E73E4">
        <w:t>is</w:t>
      </w:r>
      <w:r>
        <w:t xml:space="preserve"> important to distinguish a WSC from an IOU, as the PFD does only two paragraphs later, it is certainly important to distinguish between a business designed to </w:t>
      </w:r>
      <w:r w:rsidR="00E90CD5">
        <w:t>make money and a nonprofit meant to provide water to its members. The idea that a nonprofit should spend a million dollars to attract volunteers is ludicrous</w:t>
      </w:r>
      <w:r w:rsidR="005327DE">
        <w:t xml:space="preserve">. Had Windermere taken a careful look at its financials, it could have budgeted </w:t>
      </w:r>
      <w:r w:rsidR="00633BE4">
        <w:t xml:space="preserve">the amount that it could have reasonably spent. Looking at Windermere’s five-year average income and the 2019 </w:t>
      </w:r>
      <w:r w:rsidR="00C9328B">
        <w:t>non-legal</w:t>
      </w:r>
      <w:r w:rsidR="00633BE4">
        <w:t xml:space="preserve"> expenses, </w:t>
      </w:r>
      <w:r w:rsidR="00C9328B">
        <w:t>Windermere could have anticipated approximately $83,000 per year in discretionary income</w:t>
      </w:r>
      <w:r w:rsidR="00195AD1">
        <w:t xml:space="preserve"> without ever raising its rates</w:t>
      </w:r>
      <w:r w:rsidR="00C9328B">
        <w:t>.</w:t>
      </w:r>
      <w:r w:rsidR="00C9328B">
        <w:rPr>
          <w:rStyle w:val="FootnoteReference"/>
        </w:rPr>
        <w:footnoteReference w:id="44"/>
      </w:r>
      <w:r w:rsidR="00195AD1">
        <w:t xml:space="preserve"> </w:t>
      </w:r>
      <w:r w:rsidR="00C8462F">
        <w:t>A budget of</w:t>
      </w:r>
      <w:r w:rsidR="00195AD1">
        <w:t xml:space="preserve"> $83,000 per year </w:t>
      </w:r>
      <w:r w:rsidR="00C8462F">
        <w:t xml:space="preserve">to spend </w:t>
      </w:r>
      <w:r w:rsidR="00195AD1">
        <w:t>on legal defense is no small amount.</w:t>
      </w:r>
    </w:p>
    <w:p w14:paraId="0C371C1D" w14:textId="0D5AEA93" w:rsidR="00F76329" w:rsidRDefault="00AE75B4" w:rsidP="00F76329">
      <w:pPr>
        <w:spacing w:line="360" w:lineRule="auto"/>
        <w:ind w:firstLine="720"/>
      </w:pPr>
      <w:r>
        <w:t>Finally, regarding legal expenses and</w:t>
      </w:r>
      <w:r w:rsidR="00C63F6F">
        <w:t xml:space="preserve"> the </w:t>
      </w:r>
      <w:r>
        <w:t xml:space="preserve">often-decried </w:t>
      </w:r>
      <w:r w:rsidR="00C63F6F">
        <w:t>PIA requests</w:t>
      </w:r>
      <w:r w:rsidR="00073919">
        <w:t xml:space="preserve">, while Staff did acknowledge that recovery of some legal costs related to PIA requests might be appropriate, it certainly did not mean to imply that a </w:t>
      </w:r>
      <w:r w:rsidR="007B1E54">
        <w:t>water supply corporation could reasonably spend an unlimited amount of money hiring lawyers to advise it on responses to PIA request</w:t>
      </w:r>
      <w:r w:rsidR="00067566">
        <w:t>s</w:t>
      </w:r>
      <w:r w:rsidR="007B1E54">
        <w:t xml:space="preserve"> that often </w:t>
      </w:r>
      <w:r w:rsidR="00160297">
        <w:t>sought</w:t>
      </w:r>
      <w:r w:rsidR="00067566">
        <w:t xml:space="preserve"> something as simple as a</w:t>
      </w:r>
      <w:r w:rsidR="007B1E54">
        <w:t xml:space="preserve"> draft of Board meeting minutes</w:t>
      </w:r>
      <w:r w:rsidR="00131651">
        <w:t>.</w:t>
      </w:r>
      <w:r w:rsidR="00570EE5">
        <w:rPr>
          <w:rStyle w:val="FootnoteReference"/>
        </w:rPr>
        <w:footnoteReference w:id="45"/>
      </w:r>
      <w:r w:rsidR="00131651">
        <w:t xml:space="preserve"> </w:t>
      </w:r>
      <w:r w:rsidR="00453AF3">
        <w:t>In another glaring inconsistency, Windermere has stated repeatedly that it received some 46 PIA requests in 2019.</w:t>
      </w:r>
      <w:r w:rsidR="00453AF3">
        <w:rPr>
          <w:rStyle w:val="FootnoteReference"/>
        </w:rPr>
        <w:footnoteReference w:id="46"/>
      </w:r>
      <w:r w:rsidR="00453AF3">
        <w:t xml:space="preserve"> This is also false. Staff has reviewed Windermere’s 2019 PIA requests. It received 37.</w:t>
      </w:r>
      <w:r w:rsidR="00453AF3">
        <w:rPr>
          <w:rStyle w:val="FootnoteReference"/>
        </w:rPr>
        <w:footnoteReference w:id="47"/>
      </w:r>
    </w:p>
    <w:p w14:paraId="785A788F" w14:textId="183C8E64" w:rsidR="002420B6" w:rsidRDefault="00C01365" w:rsidP="00F76329">
      <w:pPr>
        <w:spacing w:line="360" w:lineRule="auto"/>
        <w:ind w:firstLine="720"/>
      </w:pPr>
      <w:r>
        <w:t xml:space="preserve">While Windermere is not subject to the ratemaking requirements of an IOU, Windermere is required to present a coherent rate design to the Commission. </w:t>
      </w:r>
      <w:r w:rsidR="00482413">
        <w:t xml:space="preserve">There </w:t>
      </w:r>
      <w:r w:rsidR="00F560CF">
        <w:t>are no statutory ratemaking requirements for WSCs, and e</w:t>
      </w:r>
      <w:r w:rsidR="00482413">
        <w:t xml:space="preserve">ven the PFD’s </w:t>
      </w:r>
      <w:r w:rsidR="009E54F8">
        <w:t xml:space="preserve">proposition that </w:t>
      </w:r>
      <w:r w:rsidR="00725638">
        <w:t xml:space="preserve">the </w:t>
      </w:r>
      <w:r w:rsidR="009E54F8">
        <w:t>“</w:t>
      </w:r>
      <w:r w:rsidR="00725638">
        <w:t>reasonableness of [Windermere’s] rates must be tested by whether they are set to ‘collect only expenses actually realized or which can be anticipated with reasonable certainty’”</w:t>
      </w:r>
      <w:r w:rsidR="00482413">
        <w:t xml:space="preserve"> </w:t>
      </w:r>
      <w:r w:rsidR="00F15CC9">
        <w:t>quotes</w:t>
      </w:r>
      <w:r w:rsidR="00482413">
        <w:t xml:space="preserve"> a</w:t>
      </w:r>
      <w:r w:rsidR="009A4E01">
        <w:t>n appeal of rates adopted by a</w:t>
      </w:r>
      <w:r w:rsidR="00482413">
        <w:t xml:space="preserve"> municipality, not a WSC.</w:t>
      </w:r>
      <w:r w:rsidR="00F560CF">
        <w:rPr>
          <w:rStyle w:val="FootnoteReference"/>
        </w:rPr>
        <w:footnoteReference w:id="48"/>
      </w:r>
      <w:r w:rsidR="00482413">
        <w:t xml:space="preserve"> </w:t>
      </w:r>
      <w:r w:rsidR="003A04A7">
        <w:t>An appeal of municipal rates under TWC § 13.044 is not an appeal of a WS</w:t>
      </w:r>
      <w:r w:rsidR="009912E8">
        <w:t>C</w:t>
      </w:r>
      <w:r w:rsidR="003A04A7">
        <w:t xml:space="preserve">’s rates under TWC § 13.043. </w:t>
      </w:r>
    </w:p>
    <w:p w14:paraId="6925D46A" w14:textId="2B6BC82A" w:rsidR="003A04A7" w:rsidRDefault="00BA64BC" w:rsidP="00F76329">
      <w:pPr>
        <w:spacing w:line="360" w:lineRule="auto"/>
        <w:ind w:firstLine="720"/>
      </w:pPr>
      <w:r>
        <w:lastRenderedPageBreak/>
        <w:t xml:space="preserve">Additionally, Windermere itself stated that </w:t>
      </w:r>
      <w:r w:rsidR="00795267">
        <w:t>its rates were based on a test year</w:t>
      </w:r>
      <w:r w:rsidR="00FA4AC6">
        <w:t>, 2019,</w:t>
      </w:r>
      <w:r w:rsidR="00795267">
        <w:t xml:space="preserve"> </w:t>
      </w:r>
      <w:r w:rsidR="00FA4AC6">
        <w:t>adjusted for known and measurable changes</w:t>
      </w:r>
      <w:r w:rsidR="008D6D92">
        <w:t>.</w:t>
      </w:r>
      <w:r w:rsidR="00C02C54">
        <w:rPr>
          <w:rStyle w:val="FootnoteReference"/>
        </w:rPr>
        <w:footnoteReference w:id="49"/>
      </w:r>
      <w:r w:rsidR="00BB4937">
        <w:t xml:space="preserve"> Even if the Commission chooses not to hold Windermere to the same standards as an IOU, Staff believes that Windermere should at least be required to meet the standards for the </w:t>
      </w:r>
      <w:r w:rsidR="00DF538B">
        <w:t>cash needs method, which Windermere claims to have used.</w:t>
      </w:r>
      <w:r w:rsidR="002420B6">
        <w:t xml:space="preserve"> Further, even if Windermere </w:t>
      </w:r>
      <w:r w:rsidR="008134B0">
        <w:t>did not use 2019’s actual expenses, adjusted for known and measurable changes, and instead used its budget data to create its rates, “budget data, like all other evidence, must be proven up with testimony and additional evidence.”</w:t>
      </w:r>
      <w:r w:rsidR="00681C6A">
        <w:rPr>
          <w:rStyle w:val="FootnoteReference"/>
        </w:rPr>
        <w:footnoteReference w:id="50"/>
      </w:r>
      <w:r w:rsidR="008134B0">
        <w:t xml:space="preserve"> </w:t>
      </w:r>
      <w:r w:rsidR="009F399B">
        <w:t xml:space="preserve">Windermere </w:t>
      </w:r>
      <w:r w:rsidR="005833A4">
        <w:t>“</w:t>
      </w:r>
      <w:r w:rsidR="009F399B">
        <w:t xml:space="preserve">must </w:t>
      </w:r>
      <w:r w:rsidR="005833A4">
        <w:t>also show the appealed rates recover only its reasonable and necessary expenses.”</w:t>
      </w:r>
      <w:r w:rsidR="005833A4">
        <w:rPr>
          <w:rStyle w:val="FootnoteReference"/>
        </w:rPr>
        <w:footnoteReference w:id="51"/>
      </w:r>
      <w:r w:rsidR="005833A4">
        <w:t xml:space="preserve"> </w:t>
      </w:r>
      <w:r w:rsidR="008134B0">
        <w:t>Windermere failed to pro</w:t>
      </w:r>
      <w:r w:rsidR="00EC3A0E">
        <w:t xml:space="preserve">vide evidence to support its budget data, and it failed to show that the only way that it would be able to provide water service was if it spent </w:t>
      </w:r>
      <w:r w:rsidR="00113C1A">
        <w:t>an average of more than $400,000 per year on legal services for more than four years.</w:t>
      </w:r>
    </w:p>
    <w:p w14:paraId="4C44CC2F" w14:textId="4C3C9F25" w:rsidR="006F1CA9" w:rsidRPr="000D09B7" w:rsidRDefault="000045D4" w:rsidP="00F76329">
      <w:pPr>
        <w:spacing w:line="360" w:lineRule="auto"/>
        <w:ind w:firstLine="720"/>
      </w:pPr>
      <w:r>
        <w:t xml:space="preserve">All of this is to say that a WSC is </w:t>
      </w:r>
      <w:r w:rsidR="000B494A">
        <w:t>an</w:t>
      </w:r>
      <w:r>
        <w:t xml:space="preserve"> island, entire </w:t>
      </w:r>
      <w:r w:rsidR="000B494A">
        <w:t>of</w:t>
      </w:r>
      <w:r>
        <w:t xml:space="preserve"> itself. The rules for IOUs can be instructive, and the rules from municipalities can be instructive, but ultimately, it is important to tailor </w:t>
      </w:r>
      <w:r w:rsidR="000B494A">
        <w:t>the</w:t>
      </w:r>
      <w:r w:rsidR="00717D77">
        <w:t xml:space="preserve"> just and reasonable</w:t>
      </w:r>
      <w:r>
        <w:t xml:space="preserve"> standard</w:t>
      </w:r>
      <w:r w:rsidR="000B494A">
        <w:t xml:space="preserve"> </w:t>
      </w:r>
      <w:r w:rsidR="002947D0">
        <w:t>specifically to</w:t>
      </w:r>
      <w:r>
        <w:t xml:space="preserve"> Windermere. </w:t>
      </w:r>
      <w:r w:rsidR="004D4BBE">
        <w:t xml:space="preserve">More apt is the </w:t>
      </w:r>
      <w:r w:rsidR="00390E4B">
        <w:t>standard</w:t>
      </w:r>
      <w:r w:rsidR="004D4BBE">
        <w:t xml:space="preserve"> applied in</w:t>
      </w:r>
      <w:r w:rsidR="00390E4B">
        <w:t xml:space="preserve"> 200</w:t>
      </w:r>
      <w:r w:rsidR="00F7487C">
        <w:t>8 appeal of the rates adopted by North San Saba WSC.</w:t>
      </w:r>
      <w:r w:rsidR="00F7487C">
        <w:rPr>
          <w:rStyle w:val="FootnoteReference"/>
        </w:rPr>
        <w:footnoteReference w:id="52"/>
      </w:r>
      <w:r w:rsidR="00390E4B">
        <w:t xml:space="preserve"> </w:t>
      </w:r>
      <w:r w:rsidR="00FC0A56">
        <w:t xml:space="preserve">The Commission rejected North San Saba’s rates because the WSC failed to </w:t>
      </w:r>
      <w:r w:rsidR="00F61DBF">
        <w:t>provide a solid basis for the increase</w:t>
      </w:r>
      <w:r w:rsidR="009653B9">
        <w:t>d rates</w:t>
      </w:r>
      <w:r w:rsidR="00F61DBF">
        <w:t>.</w:t>
      </w:r>
      <w:r w:rsidR="00F61DBF">
        <w:rPr>
          <w:rStyle w:val="FootnoteReference"/>
        </w:rPr>
        <w:footnoteReference w:id="53"/>
      </w:r>
      <w:r w:rsidR="00F61DBF">
        <w:t xml:space="preserve"> </w:t>
      </w:r>
      <w:r w:rsidR="006F1CA9">
        <w:t xml:space="preserve">In </w:t>
      </w:r>
      <w:r w:rsidR="006F1CA9">
        <w:rPr>
          <w:i/>
          <w:iCs/>
        </w:rPr>
        <w:t>North San Saba</w:t>
      </w:r>
      <w:r w:rsidR="006F1CA9">
        <w:t xml:space="preserve">, the Board adopted rates </w:t>
      </w:r>
      <w:r w:rsidR="00881C28">
        <w:t>that were not based on a rate study</w:t>
      </w:r>
      <w:r w:rsidR="007509AB">
        <w:t xml:space="preserve">; instead, the Board considered </w:t>
      </w:r>
      <w:r w:rsidR="009B19C5">
        <w:t>the net operating loss that it experienced over the course of a year and an imminent increase in the cost of water purchased from the City of San Saba.</w:t>
      </w:r>
      <w:r w:rsidR="00371ABD">
        <w:rPr>
          <w:rStyle w:val="FootnoteReference"/>
        </w:rPr>
        <w:footnoteReference w:id="54"/>
      </w:r>
      <w:r w:rsidR="005C77D3">
        <w:t xml:space="preserve"> </w:t>
      </w:r>
      <w:r w:rsidR="009653B9">
        <w:t xml:space="preserve">What North San Saba WSC failed to do, and what Windermere has failed to do here, is show </w:t>
      </w:r>
      <w:r w:rsidR="0023667D">
        <w:t xml:space="preserve">that the adopted rates were </w:t>
      </w:r>
      <w:r w:rsidR="0023667D">
        <w:rPr>
          <w:i/>
          <w:iCs/>
        </w:rPr>
        <w:t>necessary</w:t>
      </w:r>
      <w:r w:rsidR="0023667D">
        <w:t xml:space="preserve"> to preserve the financial integrity of the utility</w:t>
      </w:r>
      <w:r w:rsidR="00C252A8">
        <w:t>.</w:t>
      </w:r>
      <w:r w:rsidR="009653B9">
        <w:t xml:space="preserve"> </w:t>
      </w:r>
      <w:r w:rsidR="00017CAB">
        <w:t xml:space="preserve">Here, Windermere performed a rate study, and then </w:t>
      </w:r>
      <w:r w:rsidR="00C252A8">
        <w:t>i</w:t>
      </w:r>
      <w:r w:rsidR="00797E04" w:rsidRPr="00797E04">
        <w:t>ntentionally chose to completely disregard the results</w:t>
      </w:r>
      <w:r w:rsidR="00017CAB">
        <w:t xml:space="preserve">. </w:t>
      </w:r>
      <w:r w:rsidR="000D09B7">
        <w:t xml:space="preserve">Further, in </w:t>
      </w:r>
      <w:r w:rsidR="000D09B7">
        <w:rPr>
          <w:i/>
          <w:iCs/>
        </w:rPr>
        <w:t>North San Saba</w:t>
      </w:r>
      <w:r w:rsidR="000D09B7">
        <w:t xml:space="preserve">, the Commission noted that, while </w:t>
      </w:r>
      <w:r w:rsidR="00304F2B">
        <w:t xml:space="preserve">North San Saba showed some evidence of a loss, there was “no </w:t>
      </w:r>
      <w:r w:rsidR="00304F2B">
        <w:lastRenderedPageBreak/>
        <w:t>evidence about whether any costs could be cut to reduce the size of the increase.</w:t>
      </w:r>
      <w:r w:rsidR="00304F2B">
        <w:rPr>
          <w:rStyle w:val="FootnoteReference"/>
        </w:rPr>
        <w:footnoteReference w:id="55"/>
      </w:r>
      <w:r w:rsidR="003B653D">
        <w:t xml:space="preserve"> </w:t>
      </w:r>
      <w:r w:rsidR="00DC3442">
        <w:t xml:space="preserve">Similarly, Windermere indicated that “money saving options” were a factor in calculating its rates, it presented no evidence about whether </w:t>
      </w:r>
      <w:r w:rsidR="00F17B72">
        <w:t>additional cost-cutting practices could have reduced the size of the increase.</w:t>
      </w:r>
      <w:r w:rsidR="00F17B72">
        <w:rPr>
          <w:rStyle w:val="FootnoteReference"/>
        </w:rPr>
        <w:footnoteReference w:id="56"/>
      </w:r>
      <w:r w:rsidR="003D2382">
        <w:t xml:space="preserve"> </w:t>
      </w:r>
      <w:r w:rsidR="00EC43F2">
        <w:t xml:space="preserve">Finally, in </w:t>
      </w:r>
      <w:r w:rsidR="00EC43F2">
        <w:rPr>
          <w:i/>
          <w:iCs/>
        </w:rPr>
        <w:t>North San Saba</w:t>
      </w:r>
      <w:r w:rsidR="00EC43F2">
        <w:t>, where the Commission saw inconsistencies in the WSC’s financial records, those inconsistencies weighed against a finding that the rates had been adequately supported, and ultimately the Commission held that the rates were not just and reasonable.</w:t>
      </w:r>
      <w:r w:rsidR="007638C0">
        <w:t xml:space="preserve"> Here, in addition to the multiple rate-making theories advanced, Windermere’s yearly balance sheets do not accurately reflect its total assets and liabilities, and do not reflect its substantial legal debt as either a current or long term liability</w:t>
      </w:r>
      <w:r w:rsidR="00782C82">
        <w:t>; these irregularities weigh against a finding that Windermere’s rates are just and reasonable</w:t>
      </w:r>
      <w:r w:rsidR="007638C0">
        <w:t>.</w:t>
      </w:r>
      <w:r w:rsidR="007638C0">
        <w:rPr>
          <w:rStyle w:val="FootnoteReference"/>
        </w:rPr>
        <w:footnoteReference w:id="57"/>
      </w:r>
    </w:p>
    <w:p w14:paraId="5F9BD1EC" w14:textId="1ADEEDA5" w:rsidR="0028599A" w:rsidRDefault="00043A07" w:rsidP="00F76329">
      <w:pPr>
        <w:spacing w:line="360" w:lineRule="auto"/>
        <w:ind w:firstLine="720"/>
      </w:pPr>
      <w:r>
        <w:t>When Windermere presented the TRWA rate study, with a revenue requirement of $576</w:t>
      </w:r>
      <w:r w:rsidR="00E26F3B">
        <w:t xml:space="preserve">,192, </w:t>
      </w:r>
      <w:r w:rsidR="00797E04">
        <w:t>and</w:t>
      </w:r>
      <w:r w:rsidR="00E26F3B">
        <w:t xml:space="preserve"> a cost component of $171,337 dedicated to legal expenses, it inherently failed</w:t>
      </w:r>
      <w:r w:rsidR="004D161A">
        <w:t xml:space="preserve"> </w:t>
      </w:r>
      <w:r w:rsidR="00E03268">
        <w:t>to support its rates</w:t>
      </w:r>
      <w:r w:rsidR="004D161A">
        <w:t xml:space="preserve">, as those numbers are, again, in no way related to Windermere’s actual costs of service or necessary revenue. </w:t>
      </w:r>
      <w:r w:rsidR="00972299">
        <w:t xml:space="preserve">Windermere did not include $171,337 in its revenue requirement, based on bills actually paid in 2019. </w:t>
      </w:r>
      <w:r w:rsidR="00E03268">
        <w:t xml:space="preserve">Once it became clear that Windermere’s revenue requirement was not </w:t>
      </w:r>
      <w:r w:rsidR="00147FAD">
        <w:t xml:space="preserve">$576,192, and it became clear that Windermere was not recovering $171,337 per year to  spend on legal expenses, the scope of this appeal expanded. </w:t>
      </w:r>
    </w:p>
    <w:p w14:paraId="2D38FCB3" w14:textId="5E78D4EB" w:rsidR="00C8462F" w:rsidRDefault="008C522B" w:rsidP="00F76329">
      <w:pPr>
        <w:spacing w:line="360" w:lineRule="auto"/>
        <w:ind w:firstLine="720"/>
      </w:pPr>
      <w:r>
        <w:t>Windermere’s l</w:t>
      </w:r>
      <w:r w:rsidR="004D161A">
        <w:t>egal expenses d</w:t>
      </w:r>
      <w:r w:rsidR="00797E04">
        <w:t>id</w:t>
      </w:r>
      <w:r w:rsidR="004D161A">
        <w:t xml:space="preserve"> not occur in a vacuum. </w:t>
      </w:r>
      <w:r>
        <w:t xml:space="preserve">The Board chose how much money to spend. </w:t>
      </w:r>
      <w:r w:rsidR="0028599A">
        <w:t xml:space="preserve">It did not face rapidly increasing expenses. Its water supplier did not, for example, dramatically increase the cost of raw water, in which case Windermere would have </w:t>
      </w:r>
      <w:r w:rsidR="00513C62">
        <w:t>been unable to avoid rising costs. Instead, the Board chose to incur</w:t>
      </w:r>
      <w:r w:rsidR="007E3123">
        <w:t>, for example, $</w:t>
      </w:r>
      <w:r w:rsidR="007E3123" w:rsidRPr="007E3123">
        <w:t>538,903.99</w:t>
      </w:r>
      <w:r w:rsidR="00513C62">
        <w:t xml:space="preserve"> </w:t>
      </w:r>
      <w:r w:rsidR="007E3123">
        <w:t>in legal fees in 2021.</w:t>
      </w:r>
      <w:r w:rsidR="007E3123">
        <w:rPr>
          <w:rStyle w:val="FootnoteReference"/>
        </w:rPr>
        <w:footnoteReference w:id="58"/>
      </w:r>
      <w:r w:rsidR="007E3123">
        <w:t xml:space="preserve"> </w:t>
      </w:r>
      <w:r w:rsidR="00B83551">
        <w:t xml:space="preserve">The Board was no passive victim. The Board pursued an egregiously expensive litigation strategy without regard to the impact on its members. </w:t>
      </w:r>
      <w:r w:rsidR="00F14D3E">
        <w:t>Further, it is important to distinguish between legal spending and legal debt. Yes, the Board budgeted what it would pay, $250,000 per year</w:t>
      </w:r>
      <w:r w:rsidR="00565E57">
        <w:t>, though, Windermere did not even stay within budget for legal spending in either 2020 or 2021</w:t>
      </w:r>
      <w:r w:rsidR="00F14D3E">
        <w:t>,</w:t>
      </w:r>
      <w:r w:rsidR="00565E57">
        <w:rPr>
          <w:rStyle w:val="FootnoteReference"/>
        </w:rPr>
        <w:footnoteReference w:id="59"/>
      </w:r>
      <w:r w:rsidR="00F14D3E">
        <w:t xml:space="preserve"> </w:t>
      </w:r>
      <w:r w:rsidR="00F14D3E">
        <w:lastRenderedPageBreak/>
        <w:t xml:space="preserve">but </w:t>
      </w:r>
      <w:r w:rsidR="00AB6435">
        <w:t>it has introduced zero evidence that it place any limitation, of any kind, on how much debt it would incur</w:t>
      </w:r>
      <w:r w:rsidR="00565E57">
        <w:t>.</w:t>
      </w:r>
    </w:p>
    <w:p w14:paraId="1569C51D" w14:textId="28F88064" w:rsidR="00791712" w:rsidRDefault="00005998" w:rsidP="0027500D">
      <w:pPr>
        <w:spacing w:line="360" w:lineRule="auto"/>
        <w:ind w:firstLine="720"/>
      </w:pPr>
      <w:r>
        <w:t>The PFD highlights that “[s]</w:t>
      </w:r>
      <w:proofErr w:type="spellStart"/>
      <w:r>
        <w:t>ubsequent</w:t>
      </w:r>
      <w:proofErr w:type="spellEnd"/>
      <w:r>
        <w:t xml:space="preserve"> events bear out Windermere’s legal strategies at the time it made its rate decision</w:t>
      </w:r>
      <w:r w:rsidR="00F368CE">
        <w:t xml:space="preserve">” and that, </w:t>
      </w:r>
      <w:r w:rsidR="00F069CA">
        <w:t>“[a]</w:t>
      </w:r>
      <w:proofErr w:type="spellStart"/>
      <w:r w:rsidR="00F069CA">
        <w:t>lthough</w:t>
      </w:r>
      <w:proofErr w:type="spellEnd"/>
      <w:r w:rsidR="00F069CA">
        <w:t xml:space="preserve"> the outcomes of these suits could not be known at the time the board made its rate decision, they shed light on the reasonableness of Windermere's assessment of its legal position.” </w:t>
      </w:r>
      <w:r w:rsidR="00F44C85">
        <w:t>Some victories are Pyrrhic. Further</w:t>
      </w:r>
      <w:r w:rsidR="002057C9">
        <w:t xml:space="preserve">, </w:t>
      </w:r>
      <w:r w:rsidR="00EB6423">
        <w:t>i</w:t>
      </w:r>
      <w:r w:rsidR="001C7A71">
        <w:t xml:space="preserve">f these outcomes can be cited as support for the reasonableness of Windermere’s decisions, then the </w:t>
      </w:r>
      <w:r w:rsidR="00CC1DD3">
        <w:t xml:space="preserve">Allied World </w:t>
      </w:r>
      <w:r w:rsidR="001C7A71">
        <w:t xml:space="preserve">award of </w:t>
      </w:r>
      <w:r w:rsidR="00CC1DD3">
        <w:t xml:space="preserve">$678,812.05 cuts in the other direction. </w:t>
      </w:r>
      <w:r w:rsidR="0027500D">
        <w:t xml:space="preserve">Windermere never needed to recover that amount from its members. </w:t>
      </w:r>
      <w:r w:rsidR="00C557AB">
        <w:t>Additionally, Windermere’s settlement agreement with Dana Martin, by which i</w:t>
      </w:r>
      <w:r w:rsidR="00C13DB0">
        <w:t>t</w:t>
      </w:r>
      <w:r w:rsidR="00C557AB">
        <w:t xml:space="preserve"> recovered an additional $20,000, was not a windfall for the company; it received that money in exchange for additional acreage. </w:t>
      </w:r>
      <w:r w:rsidR="00F02376">
        <w:t>Even as Windermere was embroiled in a legal battle that stemmed from the sale of property to Ms. Martin, it somehow thought that selling additional land to Ms. Martin was a valid solution. Ultimately</w:t>
      </w:r>
      <w:r w:rsidR="006F755F">
        <w:t xml:space="preserve">, it is important to remember </w:t>
      </w:r>
      <w:proofErr w:type="gramStart"/>
      <w:r w:rsidR="006F755F">
        <w:t>that,</w:t>
      </w:r>
      <w:proofErr w:type="gramEnd"/>
      <w:r w:rsidR="006F755F">
        <w:t xml:space="preserve"> whatever the outcome of the lawsuits, </w:t>
      </w:r>
      <w:r w:rsidR="00137261">
        <w:t>Windermere’s legal expenses</w:t>
      </w:r>
      <w:r w:rsidR="006F755F">
        <w:t xml:space="preserve"> exist because of the Board’s </w:t>
      </w:r>
      <w:r w:rsidR="005421F2">
        <w:t>decision to sell property to Dana Martin for less than market value</w:t>
      </w:r>
      <w:r w:rsidR="00F02376">
        <w:t xml:space="preserve">, which was an inherently </w:t>
      </w:r>
      <w:r w:rsidR="001F190E">
        <w:t>imprudent</w:t>
      </w:r>
      <w:r w:rsidR="00F02376">
        <w:t xml:space="preserve"> decision.</w:t>
      </w:r>
      <w:r w:rsidR="006F755F">
        <w:t xml:space="preserve"> </w:t>
      </w:r>
    </w:p>
    <w:p w14:paraId="020035D6" w14:textId="6C089DDB" w:rsidR="00BF57A8" w:rsidRDefault="00BF57A8" w:rsidP="0027500D">
      <w:pPr>
        <w:spacing w:line="360" w:lineRule="auto"/>
        <w:ind w:firstLine="720"/>
      </w:pPr>
      <w:r>
        <w:t>The PFD additionally agrees with Windermere that “litigating [the numerous external lawsuits] was a necessary choice.”</w:t>
      </w:r>
      <w:r w:rsidR="003716EC">
        <w:t xml:space="preserve"> First, the word “choice” necessarily implies an option, not a </w:t>
      </w:r>
      <w:r w:rsidR="002E1455">
        <w:t>requirement</w:t>
      </w:r>
      <w:r w:rsidR="003716EC">
        <w:t>. Second, even</w:t>
      </w:r>
      <w:r w:rsidR="00A67AD9">
        <w:t xml:space="preserve"> if litigation was necessary, the amount of money expended certainly was not necessary. The very point of this proceeding is not to say that no money at all should have been spent on legal expenses. </w:t>
      </w:r>
      <w:r w:rsidR="00AD130A">
        <w:t>The point is to say that Windermere spent recklessly, incurred debt imprudently, should be prohibited from doing so in the future, and should be limited in how it recovers the money that it did spend.</w:t>
      </w:r>
      <w:r w:rsidR="00150158">
        <w:t xml:space="preserve"> If there is evidence in the record that shows a limitation that Windermere placed on itself, an amount that Windermere said was just too much, Staff has not seen </w:t>
      </w:r>
      <w:r w:rsidR="00C52A49">
        <w:t>any limit, and</w:t>
      </w:r>
      <w:r w:rsidR="006220E5">
        <w:t xml:space="preserve"> welcomes a citation to such evidence. </w:t>
      </w:r>
      <w:r w:rsidR="00150158">
        <w:t xml:space="preserve"> </w:t>
      </w:r>
      <w:r w:rsidR="003716EC">
        <w:t xml:space="preserve"> </w:t>
      </w:r>
    </w:p>
    <w:p w14:paraId="610DED79" w14:textId="47974C11" w:rsidR="002855C2" w:rsidRDefault="002855C2" w:rsidP="0027500D">
      <w:pPr>
        <w:spacing w:line="360" w:lineRule="auto"/>
        <w:ind w:firstLine="720"/>
      </w:pPr>
      <w:r>
        <w:t xml:space="preserve">The PFD credits the </w:t>
      </w:r>
      <w:r w:rsidR="00C577BF">
        <w:t>B</w:t>
      </w:r>
      <w:r>
        <w:t>oard for doing what it needed to do “to keep the utility afloat in the face of ever-increasing legal fees, reflecting reasonable management of a water and sewer utility</w:t>
      </w:r>
      <w:r w:rsidR="00E16B70">
        <w:t>.</w:t>
      </w:r>
      <w:r w:rsidR="00C577BF">
        <w:t>”</w:t>
      </w:r>
      <w:r w:rsidR="00C577BF">
        <w:rPr>
          <w:rStyle w:val="FootnoteReference"/>
        </w:rPr>
        <w:footnoteReference w:id="60"/>
      </w:r>
      <w:r w:rsidR="00E16B70">
        <w:t xml:space="preserve"> While it is preferable for a utility to remain afloat, perhaps the preferable approach is to stop continuously adding </w:t>
      </w:r>
      <w:r w:rsidR="008903B0">
        <w:t xml:space="preserve">dead weight, or debt </w:t>
      </w:r>
      <w:r w:rsidR="00E16B70">
        <w:t>weight</w:t>
      </w:r>
      <w:r w:rsidR="008903B0">
        <w:t xml:space="preserve">, to an already foundering utility. </w:t>
      </w:r>
      <w:r w:rsidR="0036661C">
        <w:t xml:space="preserve">Rather than </w:t>
      </w:r>
      <w:r w:rsidR="0036661C">
        <w:lastRenderedPageBreak/>
        <w:t xml:space="preserve">expecting its members to bail water indefinitely, the Board could have </w:t>
      </w:r>
      <w:r w:rsidR="0098565F">
        <w:t>put a cap on how much debt it incurred. That never happened.</w:t>
      </w:r>
    </w:p>
    <w:p w14:paraId="313515C9" w14:textId="4469D234" w:rsidR="00362FF2" w:rsidRDefault="00535D5E" w:rsidP="002A26FB">
      <w:pPr>
        <w:spacing w:line="360" w:lineRule="auto"/>
        <w:ind w:firstLine="720"/>
      </w:pPr>
      <w:r>
        <w:t xml:space="preserve">Discussing the outcome of the </w:t>
      </w:r>
      <w:r>
        <w:rPr>
          <w:i/>
          <w:iCs/>
        </w:rPr>
        <w:t>Double F Hangar Lawsuit</w:t>
      </w:r>
      <w:r>
        <w:t xml:space="preserve">, </w:t>
      </w:r>
      <w:r w:rsidR="008A71D6">
        <w:t xml:space="preserve">the PFD again emphasizes that the Plaintiffs spent $400,000 to recover </w:t>
      </w:r>
      <w:r w:rsidR="00D64E0B">
        <w:t>$70,000</w:t>
      </w:r>
      <w:r w:rsidR="00F809E0">
        <w:t xml:space="preserve">, and </w:t>
      </w:r>
      <w:r w:rsidR="00386406">
        <w:t>positively frames Windermere’s infamous “neutral stance</w:t>
      </w:r>
      <w:r w:rsidR="002A7A2C">
        <w:t>.</w:t>
      </w:r>
      <w:r w:rsidR="00386406">
        <w:t>”</w:t>
      </w:r>
      <w:r w:rsidR="00386406">
        <w:rPr>
          <w:rStyle w:val="FootnoteReference"/>
        </w:rPr>
        <w:footnoteReference w:id="61"/>
      </w:r>
      <w:r w:rsidR="00386406">
        <w:t xml:space="preserve"> The conclusion: </w:t>
      </w:r>
      <w:r w:rsidR="00832437">
        <w:t>“</w:t>
      </w:r>
      <w:r w:rsidR="00832437" w:rsidRPr="00832437">
        <w:t>Windermere</w:t>
      </w:r>
      <w:r w:rsidR="00C31FF4">
        <w:t>’</w:t>
      </w:r>
      <w:r w:rsidR="00832437" w:rsidRPr="00832437">
        <w:t>s position may not have directly lowered rates or improved service, but it protected, or attempted to protect, ratepayers against even more expensive alternatives. Windermere</w:t>
      </w:r>
      <w:r w:rsidR="00430217">
        <w:t>’</w:t>
      </w:r>
      <w:r w:rsidR="00832437" w:rsidRPr="00832437">
        <w:t>s legal expenses were incurred in defense of</w:t>
      </w:r>
      <w:r w:rsidR="00832437">
        <w:t xml:space="preserve"> </w:t>
      </w:r>
      <w:r w:rsidR="00832437" w:rsidRPr="00832437">
        <w:t>legal actions initiated against it</w:t>
      </w:r>
      <w:r w:rsidR="00C31FF4">
        <w:t>”.</w:t>
      </w:r>
      <w:r w:rsidR="00C31FF4">
        <w:rPr>
          <w:rStyle w:val="FootnoteReference"/>
        </w:rPr>
        <w:footnoteReference w:id="62"/>
      </w:r>
      <w:r w:rsidR="00C31FF4">
        <w:t xml:space="preserve"> </w:t>
      </w:r>
      <w:r w:rsidR="00B7376A">
        <w:t>From Staff’s perspective, the Board’s stance was not neutral.</w:t>
      </w:r>
      <w:r w:rsidR="00A51B1D">
        <w:t xml:space="preserve"> Windermere went from</w:t>
      </w:r>
      <w:r w:rsidR="00430217">
        <w:t xml:space="preserve"> arguing that</w:t>
      </w:r>
      <w:r w:rsidR="004E5EBD">
        <w:t xml:space="preserve"> actions were taken in violation of the Texas Open Meetings Act, that</w:t>
      </w:r>
      <w:r w:rsidR="00430217">
        <w:t xml:space="preserve"> the land sale was improper</w:t>
      </w:r>
      <w:r w:rsidR="004E5EBD">
        <w:t xml:space="preserve"> and for less than market value,</w:t>
      </w:r>
      <w:r w:rsidR="00A51B1D">
        <w:t xml:space="preserve"> </w:t>
      </w:r>
      <w:r w:rsidR="009337FF">
        <w:t>and</w:t>
      </w:r>
      <w:r w:rsidR="00E87BD2">
        <w:t xml:space="preserve"> that Dana Martin had breached her fiduciary duty and committed civil conspiracy</w:t>
      </w:r>
      <w:r w:rsidR="00A83AD5">
        <w:t>,</w:t>
      </w:r>
      <w:r w:rsidR="00E87BD2">
        <w:rPr>
          <w:rStyle w:val="FootnoteReference"/>
        </w:rPr>
        <w:footnoteReference w:id="63"/>
      </w:r>
      <w:r w:rsidR="001B62AF">
        <w:t xml:space="preserve"> </w:t>
      </w:r>
      <w:r w:rsidR="004C4BD5">
        <w:t xml:space="preserve">to </w:t>
      </w:r>
      <w:r w:rsidR="00583D32">
        <w:t>litigating to uphold the land deal</w:t>
      </w:r>
      <w:r w:rsidR="001B62AF">
        <w:t>.</w:t>
      </w:r>
      <w:r w:rsidR="00583D32">
        <w:t xml:space="preserve"> </w:t>
      </w:r>
      <w:r w:rsidR="003D2113">
        <w:t>The Board cannot have assumed diametrically opposite positions and remained neutral all along. It is not possible.</w:t>
      </w:r>
      <w:r w:rsidR="001B62AF">
        <w:t xml:space="preserve"> </w:t>
      </w:r>
      <w:r w:rsidR="003D2113">
        <w:t>As to the costly alternatives that Windermere sought to avoid, t</w:t>
      </w:r>
      <w:r w:rsidR="00C31FF4">
        <w:t>here is no evidence of what those expensive alternatives might have been</w:t>
      </w:r>
      <w:r w:rsidR="006E6366">
        <w:t xml:space="preserve">. Over a million dollars was spent to avoid the looming specter of hypothetical litigation. Staff would argue that spending a million dollars on a “maybe” does not rise to the level of prudent. </w:t>
      </w:r>
    </w:p>
    <w:p w14:paraId="57CE49D8" w14:textId="5259E9AE" w:rsidR="00362FF2" w:rsidRDefault="004B0808" w:rsidP="002A26FB">
      <w:pPr>
        <w:spacing w:line="360" w:lineRule="auto"/>
        <w:ind w:firstLine="720"/>
      </w:pPr>
      <w:r>
        <w:t>Further, Staff would argue that the Board could have chosen to indemnify, rather than advance, the costs of defense to those directors who were absolved of any wrongdoing. This would have kept rates lower</w:t>
      </w:r>
      <w:r w:rsidR="0000210E">
        <w:t xml:space="preserve"> and allowed Windermere time to recover defense costs from its insurance provider</w:t>
      </w:r>
      <w:r w:rsidR="00B4583C">
        <w:t xml:space="preserve">. This is a cost-saving measure that the Board could have </w:t>
      </w:r>
      <w:r w:rsidR="009C78E4">
        <w:t xml:space="preserve">easily taken. Instead, sitting Board members chose to advance to themselves the costs of their defense. </w:t>
      </w:r>
      <w:r w:rsidR="00BC6E72">
        <w:t>Windermere</w:t>
      </w:r>
      <w:r w:rsidR="00C611BA">
        <w:t xml:space="preserve"> chose to take on an extreme amount of debt </w:t>
      </w:r>
      <w:r w:rsidR="00BC6E72">
        <w:t xml:space="preserve">before it was even required to do so, knowing that its members would get stuck with the bill. </w:t>
      </w:r>
      <w:r w:rsidR="009C78E4">
        <w:t xml:space="preserve">When the Board voted to advance those expenses, it did not put </w:t>
      </w:r>
      <w:r w:rsidR="00C611BA">
        <w:t xml:space="preserve">in place </w:t>
      </w:r>
      <w:r w:rsidR="009C78E4">
        <w:t xml:space="preserve">a single limitation on how much </w:t>
      </w:r>
      <w:r w:rsidR="00C611BA">
        <w:t>money Windermere could spend</w:t>
      </w:r>
      <w:r w:rsidR="009C78E4">
        <w:t>.</w:t>
      </w:r>
      <w:r w:rsidR="00624807">
        <w:t xml:space="preserve"> Now, Windermere has received a significant amount of money from Allied World, to cover expenses that it has already charged to the ratepayers. </w:t>
      </w:r>
      <w:r w:rsidR="00824557">
        <w:t xml:space="preserve">Had it chosen not to advance the costs of defense, had it not </w:t>
      </w:r>
      <w:r w:rsidR="00A12B4B">
        <w:t xml:space="preserve">adopted a </w:t>
      </w:r>
      <w:r w:rsidR="00C90487">
        <w:t>base rate increase of more than 72%,</w:t>
      </w:r>
      <w:r w:rsidR="00EA6759">
        <w:rPr>
          <w:rStyle w:val="FootnoteReference"/>
        </w:rPr>
        <w:footnoteReference w:id="64"/>
      </w:r>
      <w:r w:rsidR="00C90487">
        <w:t xml:space="preserve"> bringing about this rate appeal</w:t>
      </w:r>
      <w:r w:rsidR="00824557">
        <w:t xml:space="preserve">, Windermere could </w:t>
      </w:r>
      <w:r w:rsidR="00C90487">
        <w:t xml:space="preserve">have </w:t>
      </w:r>
      <w:r w:rsidR="00C90487">
        <w:lastRenderedPageBreak/>
        <w:t xml:space="preserve">paid the bulk of its legal expenses with that money. Instead, </w:t>
      </w:r>
      <w:r w:rsidR="00C912D5">
        <w:t>$678,812.05 now covers barely a third of what Windermere has spent.</w:t>
      </w:r>
    </w:p>
    <w:p w14:paraId="13A4EF0F" w14:textId="591E7105" w:rsidR="00414426" w:rsidRDefault="00B61BB4" w:rsidP="002A26FB">
      <w:pPr>
        <w:spacing w:line="360" w:lineRule="auto"/>
        <w:ind w:firstLine="720"/>
      </w:pPr>
      <w:r>
        <w:t xml:space="preserve">The PFD also takes issue with Staff’s approach to evaluating whether legal expenses related to PIA requests should be recovered through rates. </w:t>
      </w:r>
      <w:r w:rsidR="001C71DC">
        <w:t>Staff argue</w:t>
      </w:r>
      <w:r w:rsidR="00FD5E62">
        <w:t>d that because Windermere cannot articulate</w:t>
      </w:r>
      <w:r w:rsidR="00C333AB">
        <w:t>,</w:t>
      </w:r>
      <w:r w:rsidR="00FD5E62">
        <w:t xml:space="preserve"> with any kind of precision</w:t>
      </w:r>
      <w:r w:rsidR="00C333AB">
        <w:t>,</w:t>
      </w:r>
      <w:r w:rsidR="00FD5E62">
        <w:t xml:space="preserve"> the matters to which each of the PIA requests pertain, Windermere </w:t>
      </w:r>
      <w:r w:rsidR="00C333AB">
        <w:t xml:space="preserve">should not </w:t>
      </w:r>
      <w:r w:rsidR="00FD5E62">
        <w:t xml:space="preserve">be allowed to recover </w:t>
      </w:r>
      <w:r w:rsidR="00C333AB">
        <w:t xml:space="preserve">the PIA expenses, estimated or not, through its rates. Staff has no way to know whether </w:t>
      </w:r>
      <w:r w:rsidR="005B7F61">
        <w:t xml:space="preserve">a PIA-related expense was tied to the </w:t>
      </w:r>
      <w:r w:rsidR="005B7F61" w:rsidRPr="005B7F61">
        <w:rPr>
          <w:i/>
          <w:iCs/>
        </w:rPr>
        <w:t xml:space="preserve">TOMA </w:t>
      </w:r>
      <w:r w:rsidR="005B7F61">
        <w:rPr>
          <w:i/>
          <w:iCs/>
        </w:rPr>
        <w:t>L</w:t>
      </w:r>
      <w:r w:rsidR="005B7F61" w:rsidRPr="005B7F61">
        <w:rPr>
          <w:i/>
          <w:iCs/>
        </w:rPr>
        <w:t>awsuit</w:t>
      </w:r>
      <w:r w:rsidR="005B7F61">
        <w:t xml:space="preserve">, the </w:t>
      </w:r>
      <w:r w:rsidR="005B7F61">
        <w:rPr>
          <w:i/>
          <w:iCs/>
        </w:rPr>
        <w:t>Double F Hangar Lawsuit</w:t>
      </w:r>
      <w:r w:rsidR="005B7F61">
        <w:t xml:space="preserve"> or some other matter. Staff has no way to know if a PIA-related expense</w:t>
      </w:r>
      <w:r w:rsidR="00651798">
        <w:t>, for example,</w:t>
      </w:r>
      <w:r w:rsidR="005B7F61">
        <w:t xml:space="preserve"> involve</w:t>
      </w:r>
      <w:r w:rsidR="00651798">
        <w:t>d</w:t>
      </w:r>
      <w:r w:rsidR="005B7F61">
        <w:t xml:space="preserve"> counsel advising a Board member </w:t>
      </w:r>
      <w:r w:rsidR="00651798">
        <w:t xml:space="preserve">on whether </w:t>
      </w:r>
      <w:r w:rsidR="005B7F61">
        <w:t>to release drafts of Board meeting minutes</w:t>
      </w:r>
      <w:r w:rsidR="00651798">
        <w:t>, if the expense was related to the Board releasing p</w:t>
      </w:r>
      <w:r w:rsidR="00AB31D3">
        <w:t>otentially privileged legal invoices</w:t>
      </w:r>
      <w:r w:rsidR="004143E6">
        <w:t xml:space="preserve">, or if the expense involved counsel for Windermere advising </w:t>
      </w:r>
      <w:r w:rsidR="00EE3AA3">
        <w:t xml:space="preserve">then-President Dorothy Taylor on a request made by one of the ratepayer representatives in this docket, Patricia Flunker, and then calling </w:t>
      </w:r>
      <w:r w:rsidR="00185733">
        <w:t>Ms. Flunker’s supervisor at TRWA to inquire about Ms. Flunker’s reasons for filing a given PIA request</w:t>
      </w:r>
      <w:r w:rsidR="00651798">
        <w:t>.</w:t>
      </w:r>
      <w:r w:rsidR="009E4394">
        <w:rPr>
          <w:rStyle w:val="FootnoteReference"/>
        </w:rPr>
        <w:footnoteReference w:id="65"/>
      </w:r>
      <w:r w:rsidR="00AB31D3">
        <w:t xml:space="preserve"> One expense might be justified, while </w:t>
      </w:r>
      <w:r w:rsidR="00ED5DA5">
        <w:t>an</w:t>
      </w:r>
      <w:r w:rsidR="00AB31D3">
        <w:t>other might no</w:t>
      </w:r>
      <w:r w:rsidR="00461812">
        <w:t>t</w:t>
      </w:r>
      <w:r w:rsidR="00AB31D3">
        <w:t xml:space="preserve">. If Staff cannot speak with any certainty to how funds were spent, then Staff cannot </w:t>
      </w:r>
      <w:r w:rsidR="00FC77C3">
        <w:t xml:space="preserve">confidently </w:t>
      </w:r>
      <w:r w:rsidR="00AB31D3">
        <w:t xml:space="preserve">recommend that </w:t>
      </w:r>
      <w:r w:rsidR="00D84B30">
        <w:t>those funds be recovered through Windermere’s base rates</w:t>
      </w:r>
      <w:r w:rsidR="00461812">
        <w:t xml:space="preserve">. A ballpark amount that covers all PIA-related legal expenses </w:t>
      </w:r>
      <w:r w:rsidR="00414426">
        <w:t>does not support a finding that those expenses are reasonable.</w:t>
      </w:r>
    </w:p>
    <w:p w14:paraId="5FEE94BA" w14:textId="5E6A8561" w:rsidR="005B0717" w:rsidRDefault="00414426" w:rsidP="002A26FB">
      <w:pPr>
        <w:spacing w:line="360" w:lineRule="auto"/>
        <w:ind w:firstLine="720"/>
      </w:pPr>
      <w:r>
        <w:t>The PFD also finds that Staff’s proposal to remove all legal expenses is “facially suspect.”</w:t>
      </w:r>
      <w:r>
        <w:rPr>
          <w:rStyle w:val="FootnoteReference"/>
        </w:rPr>
        <w:footnoteReference w:id="66"/>
      </w:r>
      <w:r w:rsidR="00651798">
        <w:t xml:space="preserve"> </w:t>
      </w:r>
      <w:r w:rsidR="00C51B16">
        <w:t xml:space="preserve">While it is true that Staff </w:t>
      </w:r>
      <w:r w:rsidR="00C41179">
        <w:t>would remove $171,337 from Windermere’s</w:t>
      </w:r>
      <w:r w:rsidR="00DC089F">
        <w:t xml:space="preserve"> rate-making</w:t>
      </w:r>
      <w:r w:rsidR="00C41179">
        <w:t xml:space="preserve"> revenue requirement, Attachment A shows that Staff’s overall revenue requirement results </w:t>
      </w:r>
      <w:r w:rsidR="00400CF2">
        <w:t xml:space="preserve">in recovery of </w:t>
      </w:r>
      <w:r w:rsidR="00583715">
        <w:t>approximately $65,500 over Windermere’s 2019 non-legal expenses, which could be used at Windermere’s discretion.</w:t>
      </w:r>
      <w:r w:rsidR="00167AC8">
        <w:t xml:space="preserve"> Staff took a holistic view of Windermere’s financial situation and allowed </w:t>
      </w:r>
      <w:r w:rsidR="00DC089F">
        <w:t>adequate</w:t>
      </w:r>
      <w:r w:rsidR="00167AC8">
        <w:t xml:space="preserve"> flexibility</w:t>
      </w:r>
      <w:r w:rsidR="00DC089F">
        <w:t xml:space="preserve"> to cover Windermere’s normal operating expenses</w:t>
      </w:r>
      <w:r w:rsidR="00167AC8">
        <w:t xml:space="preserve">. </w:t>
      </w:r>
      <w:r w:rsidR="002407B5">
        <w:t>Staff’s rates are not “facially suspect,” as there are various other revenues and assets that could be used to pay off Windermere’s legal debt</w:t>
      </w:r>
      <w:r w:rsidR="0081535A">
        <w:t xml:space="preserve">. Staff is not recommending that no legal expenses be </w:t>
      </w:r>
      <w:r w:rsidR="00714165">
        <w:t>recovered</w:t>
      </w:r>
      <w:r w:rsidR="0081535A">
        <w:t xml:space="preserve">. Staff is recommending </w:t>
      </w:r>
      <w:r w:rsidR="00DC5084">
        <w:t xml:space="preserve">a revenue requirement that reflects Windermere’s reasonable operating costs, </w:t>
      </w:r>
      <w:r w:rsidR="005B0717">
        <w:t xml:space="preserve">one that excludes </w:t>
      </w:r>
      <w:r w:rsidR="0081535A">
        <w:t>extraordinary expenses from rates</w:t>
      </w:r>
      <w:r w:rsidR="00DC5084">
        <w:t xml:space="preserve">. </w:t>
      </w:r>
    </w:p>
    <w:p w14:paraId="2EFD41C4" w14:textId="095A81F3" w:rsidR="002F2935" w:rsidRPr="00824557" w:rsidRDefault="005B0717" w:rsidP="002A26FB">
      <w:pPr>
        <w:spacing w:line="360" w:lineRule="auto"/>
        <w:ind w:firstLine="720"/>
      </w:pPr>
      <w:r>
        <w:lastRenderedPageBreak/>
        <w:t>Staff hopes that the Commission will draw a line and say that</w:t>
      </w:r>
      <w:r w:rsidR="00956021">
        <w:t xml:space="preserve">, at a certain point, Windermere can no longer dip into the pockets of its members and draw out handfuls of cash. Because Windermere was </w:t>
      </w:r>
      <w:r w:rsidR="00E52BA6">
        <w:t>demonstrably</w:t>
      </w:r>
      <w:r w:rsidR="00956021">
        <w:t xml:space="preserve"> disingenuous </w:t>
      </w:r>
      <w:r w:rsidR="00E52BA6">
        <w:t>i</w:t>
      </w:r>
      <w:r w:rsidR="00956021">
        <w:t xml:space="preserve">n providing information related to legal expenses and rate design, Staff had no way to </w:t>
      </w:r>
      <w:r w:rsidR="00C809B0">
        <w:t>determine</w:t>
      </w:r>
      <w:r w:rsidR="00956021">
        <w:t xml:space="preserve"> what amount of legal expenses</w:t>
      </w:r>
      <w:r w:rsidR="00555FA1">
        <w:t xml:space="preserve"> was legitimate. It took over a year to </w:t>
      </w:r>
      <w:r w:rsidR="00E52BA6">
        <w:t>discover</w:t>
      </w:r>
      <w:r w:rsidR="00555FA1">
        <w:t xml:space="preserve"> that Windermere was recovering $250,000 per year for legal expenses, not $171,337. </w:t>
      </w:r>
      <w:r w:rsidR="00DC18C7">
        <w:t xml:space="preserve">While the PDF is quick to note in some circumstances that Windermere is not an IOU, such a practice would be unacceptable in a typical ratemaking proceeding. </w:t>
      </w:r>
      <w:r w:rsidR="0090763B">
        <w:t>Here, Windermere has advanced a variety of revenue requirements</w:t>
      </w:r>
      <w:r w:rsidR="0079717B">
        <w:t>, even if Windermere is quick to call them by some other name</w:t>
      </w:r>
      <w:r w:rsidR="0090763B">
        <w:t xml:space="preserve">, a variety of evidence to support the revenue requirements, and no real </w:t>
      </w:r>
      <w:r w:rsidR="007A2616">
        <w:t>unifying theory other than “Windermere needed more money, so it raised its rates.” Perhaps</w:t>
      </w:r>
      <w:r w:rsidR="00596AEB">
        <w:t>,</w:t>
      </w:r>
      <w:r w:rsidR="007A2616">
        <w:t xml:space="preserve"> if the rates could somehow be manipulated to </w:t>
      </w:r>
      <w:r w:rsidR="00190E87">
        <w:t>link to an amount in the budget, then Windermere could mount a coherent argument. They do not, it cannot</w:t>
      </w:r>
      <w:r w:rsidR="00B33698">
        <w:t xml:space="preserve">, and for the last time, Windermere did not include $171,733 in </w:t>
      </w:r>
      <w:r w:rsidR="00BE4C32">
        <w:t xml:space="preserve">legal expenses in </w:t>
      </w:r>
      <w:r w:rsidR="00B33698">
        <w:t xml:space="preserve">its revenue requirement. That is </w:t>
      </w:r>
      <w:r w:rsidR="004A5255">
        <w:t>the</w:t>
      </w:r>
      <w:r w:rsidR="00B33698">
        <w:t xml:space="preserve"> story that </w:t>
      </w:r>
      <w:r w:rsidR="006B538D">
        <w:t>Windermere</w:t>
      </w:r>
      <w:r w:rsidR="00B33698">
        <w:t xml:space="preserve"> told, but it is not the truth</w:t>
      </w:r>
      <w:r w:rsidR="00745B07">
        <w:t>, and the math proves it so</w:t>
      </w:r>
      <w:r w:rsidR="00B33698">
        <w:t xml:space="preserve">. </w:t>
      </w:r>
    </w:p>
    <w:p w14:paraId="393E3637" w14:textId="794EFE04" w:rsidR="0034461C" w:rsidRDefault="0034461C" w:rsidP="00301E18">
      <w:pPr>
        <w:pStyle w:val="Style2"/>
        <w:keepNext w:val="0"/>
        <w:numPr>
          <w:ilvl w:val="3"/>
          <w:numId w:val="13"/>
        </w:numPr>
        <w:spacing w:line="240" w:lineRule="auto"/>
        <w:jc w:val="both"/>
      </w:pPr>
      <w:bookmarkStart w:id="33" w:name="_Toc140498328"/>
      <w:r>
        <w:t>Other Revenues</w:t>
      </w:r>
      <w:bookmarkEnd w:id="33"/>
    </w:p>
    <w:p w14:paraId="2A661839" w14:textId="4C889457" w:rsidR="008F6422" w:rsidRDefault="00EE6060" w:rsidP="006B538D">
      <w:pPr>
        <w:spacing w:line="360" w:lineRule="auto"/>
        <w:ind w:firstLine="720"/>
      </w:pPr>
      <w:r>
        <w:t>The PFD</w:t>
      </w:r>
      <w:r w:rsidR="00B7143D">
        <w:t>’</w:t>
      </w:r>
      <w:r>
        <w:t xml:space="preserve">s handling of offsets and other revenues </w:t>
      </w:r>
      <w:r w:rsidR="0096310F">
        <w:t xml:space="preserve">misunderstands </w:t>
      </w:r>
      <w:r w:rsidR="00C648C6">
        <w:t xml:space="preserve">Staff’s calculation and application of the $48,478 offset that Staff used to arrive </w:t>
      </w:r>
      <w:r w:rsidR="00903279">
        <w:t>its</w:t>
      </w:r>
      <w:r w:rsidR="00C648C6">
        <w:t xml:space="preserve"> revenue require</w:t>
      </w:r>
      <w:r w:rsidR="00903279">
        <w:t>ment</w:t>
      </w:r>
      <w:r w:rsidR="00C648C6">
        <w:t xml:space="preserve">. </w:t>
      </w:r>
      <w:r w:rsidR="00E04BA6">
        <w:t>That offset is unique to Staff’s revenue requirement, which involves unique costs o</w:t>
      </w:r>
      <w:r w:rsidR="00B7143D">
        <w:t>f</w:t>
      </w:r>
      <w:r w:rsidR="00E04BA6">
        <w:t xml:space="preserve"> service. The same offset cannot </w:t>
      </w:r>
      <w:r w:rsidR="00C54AA8">
        <w:t>properly</w:t>
      </w:r>
      <w:r w:rsidR="00E04BA6">
        <w:t xml:space="preserve"> be applied to Windermere’s stated revenue requirement</w:t>
      </w:r>
      <w:r w:rsidR="008F6422">
        <w:t xml:space="preserve">. As has been demonstrated above, Windermere did not set its rates using a revenue requirement of $576,192. </w:t>
      </w:r>
    </w:p>
    <w:p w14:paraId="6673D696" w14:textId="00BA30B9" w:rsidR="006B538D" w:rsidRDefault="008F6422" w:rsidP="006B538D">
      <w:pPr>
        <w:spacing w:line="360" w:lineRule="auto"/>
        <w:ind w:firstLine="720"/>
      </w:pPr>
      <w:r>
        <w:t>Assuming</w:t>
      </w:r>
      <w:r w:rsidR="007A1AEB">
        <w:t>,</w:t>
      </w:r>
      <w:r>
        <w:t xml:space="preserve"> without accepting</w:t>
      </w:r>
      <w:r w:rsidR="007A1AEB">
        <w:t>,</w:t>
      </w:r>
      <w:r>
        <w:t xml:space="preserve"> </w:t>
      </w:r>
      <w:r w:rsidR="00E42E59">
        <w:t xml:space="preserve">that Windermere used its 2020 annual budget to set its rates, it </w:t>
      </w:r>
      <w:r w:rsidR="00811AEA">
        <w:t>is set to recover over $675,000 per year,</w:t>
      </w:r>
      <w:r w:rsidR="00E42E59">
        <w:t xml:space="preserve"> $32,000</w:t>
      </w:r>
      <w:r w:rsidR="00A83208">
        <w:t xml:space="preserve"> more than its budget indicates is necessary</w:t>
      </w:r>
      <w:r w:rsidR="00704624">
        <w:t>.</w:t>
      </w:r>
      <w:r w:rsidR="00704624">
        <w:rPr>
          <w:rStyle w:val="FootnoteReference"/>
        </w:rPr>
        <w:footnoteReference w:id="67"/>
      </w:r>
      <w:r w:rsidR="00704624">
        <w:t xml:space="preserve"> The 2020 budget also includes a dramatic underestimate of other revenue</w:t>
      </w:r>
      <w:r w:rsidR="0020264C">
        <w:t>s, based on a five-year average of Windermere’s other revenues.</w:t>
      </w:r>
      <w:r w:rsidR="0020264C">
        <w:rPr>
          <w:rStyle w:val="FootnoteReference"/>
        </w:rPr>
        <w:footnoteReference w:id="68"/>
      </w:r>
      <w:r w:rsidR="0020264C">
        <w:t xml:space="preserve"> Windermere anticipated, despite Mr. Gimenez’s </w:t>
      </w:r>
      <w:r w:rsidR="00CA47B4">
        <w:t>repeated claims that significant development of the area</w:t>
      </w:r>
      <w:r w:rsidR="00F5418A">
        <w:t xml:space="preserve"> is ongoing,</w:t>
      </w:r>
      <w:r w:rsidR="00F5418A">
        <w:rPr>
          <w:rStyle w:val="FootnoteReference"/>
        </w:rPr>
        <w:footnoteReference w:id="69"/>
      </w:r>
      <w:r w:rsidR="00F5418A">
        <w:t xml:space="preserve"> that it would collect $13,000 less in </w:t>
      </w:r>
      <w:r w:rsidR="00277F33">
        <w:t>other revenues than it had, on average, for the five years prior.</w:t>
      </w:r>
      <w:r w:rsidR="00277F33">
        <w:rPr>
          <w:rStyle w:val="FootnoteReference"/>
        </w:rPr>
        <w:footnoteReference w:id="70"/>
      </w:r>
      <w:r w:rsidR="00277F33">
        <w:t xml:space="preserve"> </w:t>
      </w:r>
      <w:r w:rsidR="00185BE1">
        <w:t>Together, the $32,000 over</w:t>
      </w:r>
      <w:r w:rsidR="00D768A8">
        <w:t>-r</w:t>
      </w:r>
      <w:r w:rsidR="00487CD6">
        <w:t>e</w:t>
      </w:r>
      <w:r w:rsidR="00D768A8">
        <w:t>covery</w:t>
      </w:r>
      <w:r w:rsidR="00185BE1">
        <w:t xml:space="preserve"> </w:t>
      </w:r>
      <w:r w:rsidR="00487CD6">
        <w:t>plus</w:t>
      </w:r>
      <w:r w:rsidR="00185BE1">
        <w:t xml:space="preserve"> </w:t>
      </w:r>
      <w:r w:rsidR="007332C1">
        <w:t>the $13,000 underestimate of income</w:t>
      </w:r>
      <w:r w:rsidR="00FE2401">
        <w:t xml:space="preserve"> result</w:t>
      </w:r>
      <w:r w:rsidR="007332C1">
        <w:t xml:space="preserve"> in</w:t>
      </w:r>
      <w:r w:rsidR="00FE2401">
        <w:t xml:space="preserve"> </w:t>
      </w:r>
      <w:r w:rsidR="00487CD6">
        <w:t>an overcollection of $45,000</w:t>
      </w:r>
      <w:r w:rsidR="00FE2401">
        <w:t xml:space="preserve">, </w:t>
      </w:r>
      <w:r w:rsidR="00FE2401">
        <w:lastRenderedPageBreak/>
        <w:t xml:space="preserve">even if it is allowed to incorporate $250,000 per year into its rates. </w:t>
      </w:r>
      <w:r w:rsidR="00306752">
        <w:t>Furthermore, Windermere’s budget assumes some dramatic, unsupported increases to several expense categories.</w:t>
      </w:r>
      <w:r w:rsidR="00306752">
        <w:rPr>
          <w:rStyle w:val="FootnoteReference"/>
        </w:rPr>
        <w:footnoteReference w:id="71"/>
      </w:r>
      <w:r w:rsidR="00A315C2">
        <w:t xml:space="preserve"> Windermere’s non-legal expenses increased by more than $56,000.</w:t>
      </w:r>
      <w:r w:rsidR="00A315C2">
        <w:rPr>
          <w:rStyle w:val="FootnoteReference"/>
        </w:rPr>
        <w:footnoteReference w:id="72"/>
      </w:r>
      <w:r w:rsidR="00A315C2">
        <w:t xml:space="preserve"> When asked to justify some of these increases, then-President Joe Gimenez could </w:t>
      </w:r>
      <w:r w:rsidR="00143C9E">
        <w:t>point to no supporting evidence in the record.</w:t>
      </w:r>
      <w:r w:rsidR="00D47793">
        <w:rPr>
          <w:rStyle w:val="FootnoteReference"/>
        </w:rPr>
        <w:footnoteReference w:id="73"/>
      </w:r>
      <w:r w:rsidR="00143C9E">
        <w:t xml:space="preserve"> </w:t>
      </w:r>
      <w:r w:rsidR="00D768A8">
        <w:t>This means that Windermere is collecting $56,000 dollars that it does not need and cannot justify.</w:t>
      </w:r>
    </w:p>
    <w:p w14:paraId="3D6C111F" w14:textId="77777777" w:rsidR="00782C5A" w:rsidRDefault="00452351" w:rsidP="006B538D">
      <w:pPr>
        <w:spacing w:line="360" w:lineRule="auto"/>
        <w:ind w:firstLine="720"/>
      </w:pPr>
      <w:r>
        <w:t>To summarize, Windermere overestimated its needs by approximately $56,000 and underestimated its income by approximately $13,000.</w:t>
      </w:r>
      <w:r w:rsidR="00F225CA">
        <w:t xml:space="preserve"> </w:t>
      </w:r>
      <w:r w:rsidR="00A83F53">
        <w:t xml:space="preserve">On top of that, it collects $32,000 over what the budget indicates is necessary. </w:t>
      </w:r>
      <w:r w:rsidR="00F225CA">
        <w:t>For the sake of argument, assuming that Windermere should recover its legal expenses, it needs to recover only $510,384 from water and sewer service.</w:t>
      </w:r>
      <w:r w:rsidR="000E621D">
        <w:rPr>
          <w:rStyle w:val="FootnoteReference"/>
        </w:rPr>
        <w:footnoteReference w:id="74"/>
      </w:r>
      <w:r w:rsidR="00F225CA">
        <w:t xml:space="preserve"> </w:t>
      </w:r>
      <w:r w:rsidR="00643DF8">
        <w:t xml:space="preserve">Clearly, the $48,478 offset that Staff applied to its overall revenue requirement does not translate to the correct offset if one is using Windermere’s 2020 budget, which it used to set rates. </w:t>
      </w:r>
      <w:r w:rsidR="0088119F">
        <w:t xml:space="preserve">A more appropriate offset, taking into account all the budget’s costs of service, would be closer to </w:t>
      </w:r>
      <w:r w:rsidR="00782C5A">
        <w:t xml:space="preserve">$66,000. </w:t>
      </w:r>
      <w:r w:rsidR="000868E3">
        <w:t xml:space="preserve">All of that assumes that Windermere needs $250,000 per year to spend on legal expenses, which it does not. </w:t>
      </w:r>
    </w:p>
    <w:p w14:paraId="5CEEFB92" w14:textId="453629AD" w:rsidR="00452351" w:rsidRPr="006B538D" w:rsidRDefault="000868E3" w:rsidP="006B538D">
      <w:pPr>
        <w:spacing w:line="360" w:lineRule="auto"/>
        <w:ind w:firstLine="720"/>
      </w:pPr>
      <w:r>
        <w:t xml:space="preserve">As Windermere’s rates stand, it will collect approximately </w:t>
      </w:r>
      <w:r w:rsidR="00495E5B">
        <w:t xml:space="preserve">$675,000 per year, indefinitely, when its </w:t>
      </w:r>
      <w:r w:rsidR="009C5054">
        <w:t xml:space="preserve">2019 </w:t>
      </w:r>
      <w:r w:rsidR="00495E5B">
        <w:t>non</w:t>
      </w:r>
      <w:r w:rsidR="009C5054">
        <w:t>-</w:t>
      </w:r>
      <w:r w:rsidR="00495E5B">
        <w:t>legal expenses</w:t>
      </w:r>
      <w:r w:rsidR="009C5054">
        <w:t xml:space="preserve"> were only $337,299, and its non-legal expenses</w:t>
      </w:r>
      <w:r w:rsidR="00495E5B">
        <w:t xml:space="preserve"> </w:t>
      </w:r>
      <w:r w:rsidR="00B0507F">
        <w:t xml:space="preserve">have been, </w:t>
      </w:r>
      <w:r w:rsidR="00782C5A">
        <w:t xml:space="preserve">on average </w:t>
      </w:r>
      <w:r w:rsidR="00B0507F">
        <w:t xml:space="preserve">over the last four years, </w:t>
      </w:r>
      <w:r w:rsidR="009C5054">
        <w:t>only</w:t>
      </w:r>
      <w:r w:rsidR="00B0507F">
        <w:t xml:space="preserve"> $377,570.</w:t>
      </w:r>
      <w:r w:rsidR="00B0507F">
        <w:rPr>
          <w:rStyle w:val="FootnoteReference"/>
        </w:rPr>
        <w:footnoteReference w:id="75"/>
      </w:r>
      <w:r w:rsidR="009C5054">
        <w:t xml:space="preserve"> </w:t>
      </w:r>
      <w:r w:rsidR="00CA78CF">
        <w:t xml:space="preserve">Applying Staff’s offset to the TRWA revenue requirement, which is not Windermere’s revenue requirement, </w:t>
      </w:r>
      <w:r w:rsidR="00DE5116">
        <w:t xml:space="preserve">is pointless. If one is going to </w:t>
      </w:r>
      <w:r w:rsidR="0014407B">
        <w:t>calculate rates that include the $250,000 per year in legal expenses, one must look at all of Windermere’s reasonable costs of providing service</w:t>
      </w:r>
      <w:r w:rsidR="00E739BC">
        <w:t xml:space="preserve"> in order to find a total revenue requirement</w:t>
      </w:r>
      <w:r w:rsidR="0014407B">
        <w:t xml:space="preserve">, </w:t>
      </w:r>
      <w:r w:rsidR="00E739BC">
        <w:t>calculate</w:t>
      </w:r>
      <w:r w:rsidR="0014407B">
        <w:t xml:space="preserve"> Windermere’s </w:t>
      </w:r>
      <w:r w:rsidR="00E739BC">
        <w:t xml:space="preserve">non-water and sewer </w:t>
      </w:r>
      <w:r w:rsidR="0014407B">
        <w:t>revenue sources, and</w:t>
      </w:r>
      <w:r w:rsidR="00E739BC">
        <w:t xml:space="preserve"> reduce the overall revenue requirement by that amount. The resulting number will be the amount </w:t>
      </w:r>
      <w:r w:rsidR="002F0463">
        <w:t xml:space="preserve">that should be used for setting rates. </w:t>
      </w:r>
      <w:r w:rsidR="009A2473">
        <w:t xml:space="preserve">To subtract $48,478 from a number that does not reflect Windermere’s costs of service </w:t>
      </w:r>
      <w:r w:rsidR="00376662">
        <w:t>is to shove a square peg into a round hole.</w:t>
      </w:r>
      <w:r w:rsidR="00537488">
        <w:t xml:space="preserve"> For example, Windermere’s budget was designed </w:t>
      </w:r>
      <w:r w:rsidR="00E0404A">
        <w:lastRenderedPageBreak/>
        <w:t>anticipated</w:t>
      </w:r>
      <w:r w:rsidR="00537488">
        <w:t xml:space="preserve"> $7,200 </w:t>
      </w:r>
      <w:r w:rsidR="00E0404A">
        <w:t>in expenses</w:t>
      </w:r>
      <w:r w:rsidR="00537488">
        <w:t xml:space="preserve"> </w:t>
      </w:r>
      <w:r w:rsidR="00E0404A">
        <w:t>for installation of taps</w:t>
      </w:r>
      <w:r w:rsidR="00537488">
        <w:t xml:space="preserve">, while the budget anticipates a recovery of $10,350 from tap fees. </w:t>
      </w:r>
      <w:r w:rsidR="00E0404A">
        <w:t xml:space="preserve">Staff’s calculation, on the other hand, does not include tap fees at all, as tap </w:t>
      </w:r>
      <w:r w:rsidR="00B23CC7">
        <w:t xml:space="preserve">fees are designed to recover the true cost of tap installation. Windermere clearly anticipated something else entirely. </w:t>
      </w:r>
      <w:r w:rsidR="006507CD">
        <w:t>Applying</w:t>
      </w:r>
      <w:r w:rsidR="00B23CC7">
        <w:t xml:space="preserve"> Staff’s numbers to Windermere’s </w:t>
      </w:r>
      <w:r w:rsidR="004B56F3">
        <w:t xml:space="preserve">false </w:t>
      </w:r>
      <w:r w:rsidR="00B23CC7">
        <w:t>revenue</w:t>
      </w:r>
      <w:r w:rsidR="00F87380">
        <w:t xml:space="preserve"> requirement</w:t>
      </w:r>
      <w:r w:rsidR="00B23CC7">
        <w:t xml:space="preserve"> </w:t>
      </w:r>
      <w:r w:rsidR="009A4D61">
        <w:t>disregard</w:t>
      </w:r>
      <w:r w:rsidR="00F87380">
        <w:t>s</w:t>
      </w:r>
      <w:r w:rsidR="009A4D61">
        <w:t xml:space="preserve"> </w:t>
      </w:r>
      <w:r w:rsidR="00F87380">
        <w:t>critical</w:t>
      </w:r>
      <w:r w:rsidR="009A4D61">
        <w:t xml:space="preserve"> differences</w:t>
      </w:r>
      <w:r w:rsidR="00A66C4F">
        <w:t xml:space="preserve"> and rate making principles, such as addition and subtraction</w:t>
      </w:r>
      <w:r w:rsidR="009A4D61">
        <w:t xml:space="preserve">. </w:t>
      </w:r>
    </w:p>
    <w:p w14:paraId="22B29FDE" w14:textId="7EE7300F" w:rsidR="0034461C" w:rsidRDefault="0034461C" w:rsidP="00301E18">
      <w:pPr>
        <w:pStyle w:val="Style2"/>
        <w:keepNext w:val="0"/>
        <w:numPr>
          <w:ilvl w:val="1"/>
          <w:numId w:val="13"/>
        </w:numPr>
        <w:spacing w:line="240" w:lineRule="auto"/>
        <w:jc w:val="both"/>
      </w:pPr>
      <w:bookmarkStart w:id="34" w:name="_Toc140498329"/>
      <w:r>
        <w:t>Methodology for Calculating Rates</w:t>
      </w:r>
      <w:bookmarkEnd w:id="34"/>
    </w:p>
    <w:p w14:paraId="062BA384" w14:textId="7761E6A3" w:rsidR="006507CD" w:rsidRDefault="004501BD" w:rsidP="00007E7F">
      <w:pPr>
        <w:spacing w:line="360" w:lineRule="auto"/>
        <w:ind w:firstLine="720"/>
      </w:pPr>
      <w:r>
        <w:t xml:space="preserve">The PFD </w:t>
      </w:r>
      <w:r w:rsidR="00B45E85">
        <w:t>conflates</w:t>
      </w:r>
      <w:r>
        <w:t xml:space="preserve"> Staff’s position that the Commission </w:t>
      </w:r>
      <w:r w:rsidR="00114B3B">
        <w:t xml:space="preserve">should “consider” evidence that </w:t>
      </w:r>
      <w:r w:rsidR="00C025A4">
        <w:t>demonstrate</w:t>
      </w:r>
      <w:r w:rsidR="00B45E85">
        <w:t>s</w:t>
      </w:r>
      <w:r w:rsidR="00C025A4">
        <w:t xml:space="preserve"> that recovery of the outside legal expenses is necessary to preserve </w:t>
      </w:r>
      <w:r w:rsidR="00B45E85">
        <w:t>Windermere’s</w:t>
      </w:r>
      <w:r w:rsidR="00C025A4">
        <w:t xml:space="preserve"> financial integrit</w:t>
      </w:r>
      <w:r w:rsidR="00007E7F">
        <w:t>y with</w:t>
      </w:r>
      <w:r w:rsidR="00B45E85">
        <w:t xml:space="preserve"> a position that</w:t>
      </w:r>
      <w:r w:rsidR="00007E7F">
        <w:t xml:space="preserve"> Staff “supports” recovery of the legal expenses through base rates if </w:t>
      </w:r>
      <w:r w:rsidR="00924DE0">
        <w:t>it is necessary to preserve Windermere’s financial integrity. Of course</w:t>
      </w:r>
      <w:r w:rsidR="00921159">
        <w:t>,</w:t>
      </w:r>
      <w:r w:rsidR="00924DE0">
        <w:t xml:space="preserve"> the Commission should consider financial integrity when setting rates. It is </w:t>
      </w:r>
      <w:r w:rsidR="00FF292C">
        <w:t xml:space="preserve">statutorily obligated to do so, and financial integrity should not be taken lightly. However, the inclusion of unreasonable expenses, and </w:t>
      </w:r>
      <w:r w:rsidR="005E30C5">
        <w:t>treating those expenses as though they will recur year after year and year warrants serious consideration as well</w:t>
      </w:r>
      <w:r w:rsidR="00FF292C">
        <w:t>.</w:t>
      </w:r>
      <w:r w:rsidR="005E30C5">
        <w:t xml:space="preserve"> </w:t>
      </w:r>
      <w:r w:rsidR="00CB4CFA">
        <w:t>In deciding this docket, t</w:t>
      </w:r>
      <w:r w:rsidR="006566F4">
        <w:t xml:space="preserve">he Commission can decide whether a WSC can recover expenses that have not been proven or supported. </w:t>
      </w:r>
      <w:r w:rsidR="00D03B6F">
        <w:t>The Commission can rein in</w:t>
      </w:r>
      <w:r w:rsidR="00A23C33">
        <w:t xml:space="preserve"> a WSC with only 271 members</w:t>
      </w:r>
      <w:r w:rsidR="00D03B6F">
        <w:t xml:space="preserve"> that is otherwise subject to very little oversight and that has spent close to two million dollars in less than five years.</w:t>
      </w:r>
    </w:p>
    <w:p w14:paraId="1489FD60" w14:textId="5B6229AE" w:rsidR="00E87A91" w:rsidRPr="00567C0A" w:rsidRDefault="00412F07" w:rsidP="00B4648D">
      <w:pPr>
        <w:spacing w:line="360" w:lineRule="auto"/>
        <w:ind w:firstLine="720"/>
      </w:pPr>
      <w:r>
        <w:t>T</w:t>
      </w:r>
      <w:r w:rsidR="001343D9">
        <w:t xml:space="preserve">he PFD </w:t>
      </w:r>
      <w:r w:rsidR="0099101A">
        <w:t xml:space="preserve">distinguishes the holding in </w:t>
      </w:r>
      <w:r w:rsidR="0099101A">
        <w:rPr>
          <w:i/>
          <w:iCs/>
        </w:rPr>
        <w:t xml:space="preserve">Town of </w:t>
      </w:r>
      <w:proofErr w:type="spellStart"/>
      <w:r w:rsidR="0099101A">
        <w:rPr>
          <w:i/>
          <w:iCs/>
        </w:rPr>
        <w:t>Woodloch</w:t>
      </w:r>
      <w:proofErr w:type="spellEnd"/>
      <w:r w:rsidR="0099101A">
        <w:rPr>
          <w:i/>
          <w:iCs/>
        </w:rPr>
        <w:t xml:space="preserve"> </w:t>
      </w:r>
      <w:r w:rsidR="0099101A">
        <w:t xml:space="preserve">from the circumstances because, in </w:t>
      </w:r>
      <w:r w:rsidR="0099101A">
        <w:rPr>
          <w:i/>
          <w:iCs/>
        </w:rPr>
        <w:t xml:space="preserve">Town of </w:t>
      </w:r>
      <w:proofErr w:type="spellStart"/>
      <w:r w:rsidR="0099101A">
        <w:rPr>
          <w:i/>
          <w:iCs/>
        </w:rPr>
        <w:t>Woodloch</w:t>
      </w:r>
      <w:proofErr w:type="spellEnd"/>
      <w:r w:rsidR="0099101A">
        <w:t>,</w:t>
      </w:r>
      <w:r w:rsidR="00F52DF6">
        <w:t xml:space="preserve"> the utility had “attempted to include discretionary or extraneous </w:t>
      </w:r>
      <w:r w:rsidR="005552F9">
        <w:t>expenses</w:t>
      </w:r>
      <w:r w:rsidR="00085C65">
        <w:t>,</w:t>
      </w:r>
      <w:r w:rsidR="000B1150">
        <w:t>”</w:t>
      </w:r>
      <w:r w:rsidR="00873CBF">
        <w:rPr>
          <w:rStyle w:val="FootnoteReference"/>
        </w:rPr>
        <w:footnoteReference w:id="76"/>
      </w:r>
      <w:r w:rsidR="0088393A">
        <w:t xml:space="preserve"> </w:t>
      </w:r>
      <w:r>
        <w:t>but</w:t>
      </w:r>
      <w:r w:rsidR="000B1150">
        <w:t xml:space="preserve"> Windermere’s “legal expenses, on the other hand, were unavoidable and necessary to continue its existence.”</w:t>
      </w:r>
      <w:r w:rsidR="00873CBF">
        <w:rPr>
          <w:rStyle w:val="FootnoteReference"/>
        </w:rPr>
        <w:footnoteReference w:id="77"/>
      </w:r>
      <w:r w:rsidR="000B1150">
        <w:t xml:space="preserve"> </w:t>
      </w:r>
      <w:r w:rsidR="00873CBF">
        <w:t xml:space="preserve">Staff vehemently disagrees. </w:t>
      </w:r>
      <w:r w:rsidR="003E4220">
        <w:t xml:space="preserve">To say that Windermere’s legal expenses were necessary and unavoidable is inaccurate. </w:t>
      </w:r>
      <w:r w:rsidR="00873CBF">
        <w:t xml:space="preserve">Windermere was not required to advance costs of defense. Windermere could have placed limitations on just how many hours its attorneys could bill. </w:t>
      </w:r>
      <w:r w:rsidR="00CE5A74">
        <w:t>The Board could have used to special assessment that is required under Windermere’s tariff</w:t>
      </w:r>
      <w:r w:rsidR="00E87A91">
        <w:t>, presumably for this exact purpose</w:t>
      </w:r>
      <w:r w:rsidR="00CE5A74">
        <w:t xml:space="preserve">. </w:t>
      </w:r>
      <w:r w:rsidR="008573F0">
        <w:t>Instead, Windermere choose to build up a “war-chest for future legal bills”.</w:t>
      </w:r>
      <w:r w:rsidR="008573F0">
        <w:rPr>
          <w:rStyle w:val="FootnoteReference"/>
        </w:rPr>
        <w:footnoteReference w:id="78"/>
      </w:r>
      <w:r w:rsidR="008573F0">
        <w:t xml:space="preserve"> </w:t>
      </w:r>
      <w:r w:rsidR="00567C0A">
        <w:t xml:space="preserve">A war chest is an accumulation of funds dedicated to dedicated to some future, prospective use. A war chest is not an accumulation of funds dedicated to a known and existing </w:t>
      </w:r>
      <w:r w:rsidR="00567C0A">
        <w:lastRenderedPageBreak/>
        <w:t xml:space="preserve">debt. Under </w:t>
      </w:r>
      <w:r w:rsidR="00567C0A">
        <w:rPr>
          <w:i/>
          <w:iCs/>
        </w:rPr>
        <w:t xml:space="preserve">Town of </w:t>
      </w:r>
      <w:proofErr w:type="spellStart"/>
      <w:r w:rsidR="00567C0A">
        <w:rPr>
          <w:i/>
          <w:iCs/>
        </w:rPr>
        <w:t>Woodloch</w:t>
      </w:r>
      <w:proofErr w:type="spellEnd"/>
      <w:r w:rsidR="00567C0A">
        <w:t>, a war chest is not an appropriate expense to include in a utility’s revenue requirement.</w:t>
      </w:r>
    </w:p>
    <w:p w14:paraId="122F5D7E" w14:textId="15593002" w:rsidR="001343D9" w:rsidRDefault="00873CBF" w:rsidP="00B4648D">
      <w:pPr>
        <w:spacing w:line="360" w:lineRule="auto"/>
        <w:ind w:firstLine="720"/>
      </w:pPr>
      <w:r>
        <w:t>Windermere</w:t>
      </w:r>
      <w:r w:rsidR="00E87A91">
        <w:t xml:space="preserve"> also</w:t>
      </w:r>
      <w:r>
        <w:t xml:space="preserve"> had discretion in settling on a payment plan</w:t>
      </w:r>
      <w:r w:rsidR="00E87A91">
        <w:t>, and</w:t>
      </w:r>
      <w:r>
        <w:t xml:space="preserve"> </w:t>
      </w:r>
      <w:r w:rsidR="001C2943">
        <w:t xml:space="preserve">Windermere chose to add unnecessary amounts into its budget. </w:t>
      </w:r>
      <w:r w:rsidR="00BA70B0">
        <w:t>L</w:t>
      </w:r>
      <w:r w:rsidR="00E87A91">
        <w:t xml:space="preserve">egal expenses are not the only category in </w:t>
      </w:r>
      <w:r w:rsidR="00BA70B0">
        <w:t>question</w:t>
      </w:r>
      <w:r w:rsidR="008A1088">
        <w:t>, now that the parties have an understanding of how Windermere set its rates</w:t>
      </w:r>
      <w:r w:rsidR="00BA70B0">
        <w:t>. If</w:t>
      </w:r>
      <w:r w:rsidR="008A1088">
        <w:t xml:space="preserve"> the ALJs do choose to accept Windermere’s rates</w:t>
      </w:r>
      <w:r w:rsidR="00AA076E">
        <w:t xml:space="preserve">, </w:t>
      </w:r>
      <w:r w:rsidR="008A1088">
        <w:t>then a full review of all costs of service is necessary</w:t>
      </w:r>
      <w:r w:rsidR="00962703">
        <w:t>, including the $56,000 increase in non-legal spending that is not supported by the record</w:t>
      </w:r>
      <w:r w:rsidR="008A1088">
        <w:t xml:space="preserve">. </w:t>
      </w:r>
      <w:r w:rsidR="00BA70B0">
        <w:t xml:space="preserve"> </w:t>
      </w:r>
    </w:p>
    <w:p w14:paraId="12909224" w14:textId="06B7AD55" w:rsidR="00567C0A" w:rsidRPr="00567C0A" w:rsidRDefault="00567C0A" w:rsidP="00B4648D">
      <w:pPr>
        <w:spacing w:line="360" w:lineRule="auto"/>
        <w:ind w:firstLine="720"/>
      </w:pPr>
      <w:r>
        <w:t xml:space="preserve">Finally, as noted in </w:t>
      </w:r>
      <w:r>
        <w:rPr>
          <w:i/>
          <w:iCs/>
        </w:rPr>
        <w:t xml:space="preserve">Town of </w:t>
      </w:r>
      <w:proofErr w:type="spellStart"/>
      <w:r>
        <w:rPr>
          <w:i/>
          <w:iCs/>
        </w:rPr>
        <w:t>Woodloch</w:t>
      </w:r>
      <w:proofErr w:type="spellEnd"/>
      <w:r>
        <w:t>,</w:t>
      </w:r>
      <w:r>
        <w:rPr>
          <w:i/>
          <w:iCs/>
        </w:rPr>
        <w:t xml:space="preserve"> </w:t>
      </w:r>
      <w:r>
        <w:t>“‘[t]he Texas Water Code’s consideration of the financial integrity of the utility is not a guarantee to recover rates while improperly managing funds dedicated to public use and neglecting all other requirements of the Water Code, Commission rules, and ratemaking principles.’”</w:t>
      </w:r>
      <w:r>
        <w:rPr>
          <w:rStyle w:val="FootnoteReference"/>
        </w:rPr>
        <w:footnoteReference w:id="79"/>
      </w:r>
      <w:r>
        <w:t xml:space="preserve"> </w:t>
      </w:r>
      <w:r>
        <w:rPr>
          <w:i/>
          <w:iCs/>
        </w:rPr>
        <w:t xml:space="preserve">Town of </w:t>
      </w:r>
      <w:proofErr w:type="spellStart"/>
      <w:r>
        <w:rPr>
          <w:i/>
          <w:iCs/>
        </w:rPr>
        <w:t>Woodloch</w:t>
      </w:r>
      <w:proofErr w:type="spellEnd"/>
      <w:r>
        <w:t xml:space="preserve"> forcefully rejected the proposition that the financial integrity verbiage in the statute [trumps] all other requirements of the statute, such as that rates be based solely on information that was available at the time the rates were adopted, or that rates be just and reasonable.”</w:t>
      </w:r>
      <w:r>
        <w:rPr>
          <w:rStyle w:val="FootnoteReference"/>
        </w:rPr>
        <w:footnoteReference w:id="80"/>
      </w:r>
      <w:r w:rsidR="00844C11">
        <w:t xml:space="preserve"> It is not just and reasonable to place a multi-million dollar legal debt on 271 members of Windermere Oaks Water Supply system, Windermere did not adhere to ratemaking principles, and Windermere’s rates therefore fail.</w:t>
      </w:r>
    </w:p>
    <w:p w14:paraId="39ABD0DB" w14:textId="77777777" w:rsidR="0034461C" w:rsidRDefault="0034461C" w:rsidP="00301E18">
      <w:pPr>
        <w:pStyle w:val="Style2"/>
        <w:keepNext w:val="0"/>
        <w:numPr>
          <w:ilvl w:val="1"/>
          <w:numId w:val="13"/>
        </w:numPr>
        <w:spacing w:line="240" w:lineRule="auto"/>
        <w:jc w:val="both"/>
      </w:pPr>
      <w:bookmarkStart w:id="35" w:name="_Toc140498330"/>
      <w:r>
        <w:t>Other Revenue Sources</w:t>
      </w:r>
      <w:bookmarkEnd w:id="35"/>
    </w:p>
    <w:p w14:paraId="0F7826CC" w14:textId="158512B2" w:rsidR="0034461C" w:rsidRDefault="0034461C" w:rsidP="00301E18">
      <w:pPr>
        <w:pStyle w:val="Style2"/>
        <w:keepNext w:val="0"/>
        <w:numPr>
          <w:ilvl w:val="2"/>
          <w:numId w:val="13"/>
        </w:numPr>
        <w:spacing w:line="240" w:lineRule="auto"/>
        <w:jc w:val="both"/>
      </w:pPr>
      <w:bookmarkStart w:id="36" w:name="_Toc140498331"/>
      <w:r>
        <w:t>Staff’s Position</w:t>
      </w:r>
      <w:bookmarkEnd w:id="36"/>
    </w:p>
    <w:p w14:paraId="2D2AE6EB" w14:textId="57652504" w:rsidR="0093348C" w:rsidRDefault="00C25FA4" w:rsidP="0093348C">
      <w:pPr>
        <w:spacing w:line="360" w:lineRule="auto"/>
        <w:ind w:firstLine="720"/>
      </w:pPr>
      <w:r>
        <w:t>The PFD fails to note that Staff also proposed that Windermere use the special assessment that is required under its tariff to recover its extraordinary legal expenses.</w:t>
      </w:r>
      <w:r>
        <w:rPr>
          <w:rStyle w:val="FootnoteReference"/>
        </w:rPr>
        <w:footnoteReference w:id="81"/>
      </w:r>
      <w:r>
        <w:t xml:space="preserve"> </w:t>
      </w:r>
      <w:r w:rsidR="0016626D">
        <w:t>Per Windermere’s tariff:</w:t>
      </w:r>
    </w:p>
    <w:p w14:paraId="5E4A0017" w14:textId="22B5D1BF" w:rsidR="0016626D" w:rsidRDefault="00370CFE" w:rsidP="00D20FCF">
      <w:pPr>
        <w:spacing w:after="120"/>
        <w:ind w:left="720" w:right="720"/>
      </w:pPr>
      <w:r>
        <w:rPr>
          <w:i/>
          <w:iCs/>
        </w:rPr>
        <w:t xml:space="preserve">Assessments. — </w:t>
      </w:r>
      <w:r w:rsidR="0016626D" w:rsidRPr="0016626D">
        <w:t>If at the end of the fiscal year, or in the event of emergency repairs, the Board of</w:t>
      </w:r>
      <w:r w:rsidR="00D20FCF">
        <w:t xml:space="preserve"> </w:t>
      </w:r>
      <w:r w:rsidR="0016626D" w:rsidRPr="0016626D">
        <w:t>Directors determines the total amount derived from the collection of water or wastewater charges to</w:t>
      </w:r>
      <w:r w:rsidR="00D20FCF">
        <w:t xml:space="preserve"> </w:t>
      </w:r>
      <w:r w:rsidR="00D20FCF" w:rsidRPr="00D20FCF">
        <w:t>during the year in which such charges are collected, the Board shall make and levy an assessment</w:t>
      </w:r>
      <w:r w:rsidR="00D20FCF">
        <w:t xml:space="preserve"> </w:t>
      </w:r>
      <w:r w:rsidR="00D20FCF" w:rsidRPr="00D20FCF">
        <w:t>against each Member of the Corporation as the Board may determine or as may be required by Rural</w:t>
      </w:r>
      <w:r w:rsidR="00D20FCF">
        <w:t xml:space="preserve"> </w:t>
      </w:r>
      <w:r w:rsidR="00D20FCF" w:rsidRPr="00D20FCF">
        <w:t>Development, so that the sum of such assessments and the amount collected from water and other</w:t>
      </w:r>
      <w:r w:rsidR="00D20FCF">
        <w:t xml:space="preserve"> </w:t>
      </w:r>
      <w:r w:rsidR="00D20FCF" w:rsidRPr="00D20FCF">
        <w:t xml:space="preserve">charges is sufficient to fully pay all costs of the operation, </w:t>
      </w:r>
      <w:r w:rsidR="00D20FCF" w:rsidRPr="00D20FCF">
        <w:lastRenderedPageBreak/>
        <w:t>maintenance, replacement and repayment</w:t>
      </w:r>
      <w:r w:rsidR="00D20FCF">
        <w:t xml:space="preserve"> </w:t>
      </w:r>
      <w:proofErr w:type="spellStart"/>
      <w:r w:rsidR="00D20FCF" w:rsidRPr="00D20FCF">
        <w:t>on</w:t>
      </w:r>
      <w:proofErr w:type="spellEnd"/>
      <w:r w:rsidR="00D20FCF" w:rsidRPr="00D20FCF">
        <w:t xml:space="preserve"> indebtedness for the year’s operations.</w:t>
      </w:r>
      <w:r w:rsidR="00E51F3D">
        <w:rPr>
          <w:rStyle w:val="FootnoteReference"/>
        </w:rPr>
        <w:footnoteReference w:id="82"/>
      </w:r>
    </w:p>
    <w:p w14:paraId="65078910" w14:textId="20A0A460" w:rsidR="00711B65" w:rsidRDefault="00E51F3D" w:rsidP="00921159">
      <w:pPr>
        <w:spacing w:line="360" w:lineRule="auto"/>
      </w:pPr>
      <w:r>
        <w:t>The opera</w:t>
      </w:r>
      <w:r w:rsidR="00370CFE">
        <w:t>tive word in this provision is “shall</w:t>
      </w:r>
      <w:r w:rsidR="002F4106">
        <w:t>.</w:t>
      </w:r>
      <w:r w:rsidR="00370CFE">
        <w:t>” Windermere was required to levy the special assessment against its members at the end of 2019</w:t>
      </w:r>
      <w:r w:rsidR="0086496C">
        <w:t>,</w:t>
      </w:r>
      <w:r w:rsidR="00370CFE">
        <w:t xml:space="preserve"> when it</w:t>
      </w:r>
      <w:r w:rsidR="0086496C">
        <w:t xml:space="preserve"> still owed $121,619.17</w:t>
      </w:r>
      <w:r w:rsidR="002F11C7">
        <w:rPr>
          <w:rStyle w:val="FootnoteReference"/>
        </w:rPr>
        <w:footnoteReference w:id="83"/>
      </w:r>
      <w:r w:rsidR="0086496C">
        <w:t xml:space="preserve"> in legal debt. </w:t>
      </w:r>
      <w:r w:rsidR="00BB32C9">
        <w:t xml:space="preserve">Windermere did not have the “discretion” to choose between a rate increase and a special assessment. It was required to charge each of its members their corresponding shares of the corporation’s debt. </w:t>
      </w:r>
      <w:r w:rsidR="000715F7">
        <w:t xml:space="preserve">This mechanism would have insured that Windermere’s members had an accurate understanding of </w:t>
      </w:r>
      <w:r w:rsidR="002B1821">
        <w:t>just how much debt the Board was assuming on behalf of the WSC. If used correctly, members would have been responsible for a one-time payment at the end of each year</w:t>
      </w:r>
      <w:r w:rsidR="00302E1D">
        <w:t xml:space="preserve">. </w:t>
      </w:r>
      <w:r w:rsidR="00170F68">
        <w:t>With members r</w:t>
      </w:r>
      <w:r w:rsidR="009365F1">
        <w:t>eceiving a hefty</w:t>
      </w:r>
      <w:r w:rsidR="00170F68">
        <w:t xml:space="preserve"> bill just befor</w:t>
      </w:r>
      <w:r w:rsidR="00D773A7">
        <w:t>e</w:t>
      </w:r>
      <w:r w:rsidR="009365F1">
        <w:t xml:space="preserve"> Board elections</w:t>
      </w:r>
      <w:r w:rsidR="00D773A7">
        <w:t xml:space="preserve"> </w:t>
      </w:r>
      <w:r w:rsidR="009365F1">
        <w:t xml:space="preserve">held early in the following year, </w:t>
      </w:r>
      <w:r w:rsidR="00D773A7">
        <w:t xml:space="preserve">perhaps those elections </w:t>
      </w:r>
      <w:r w:rsidR="009365F1">
        <w:t xml:space="preserve">would have turned out a differently. </w:t>
      </w:r>
      <w:r w:rsidR="003C52AE">
        <w:t xml:space="preserve">Ultimately, it is Staff’s position that lawsuits </w:t>
      </w:r>
      <w:r w:rsidR="007A1AEB">
        <w:t xml:space="preserve">are </w:t>
      </w:r>
      <w:r w:rsidR="003C52AE">
        <w:t xml:space="preserve">extraordinary, and, one would hope, nonrecurring. The same goes for the attendant expenses. To incorporate extreme legal expenses is to </w:t>
      </w:r>
      <w:r w:rsidR="00AF170D">
        <w:t xml:space="preserve">anticipate that Windermere will be embroiled in lawsuits indefinitely. That is not how the Commission sets rates. </w:t>
      </w:r>
    </w:p>
    <w:p w14:paraId="72EFC17B" w14:textId="309D3110" w:rsidR="00D20FCF" w:rsidRDefault="00255919" w:rsidP="00921159">
      <w:pPr>
        <w:spacing w:line="360" w:lineRule="auto"/>
        <w:ind w:firstLine="720"/>
      </w:pPr>
      <w:r>
        <w:t xml:space="preserve">Staff believes that the Commission would be remiss in declining to consider the possibility of repaying Windermere’s debt using funds from alternative sources, i.e., non-water and sewer service revenue. </w:t>
      </w:r>
      <w:r w:rsidR="0024753C">
        <w:t>All of the alternatives, such as non-member income, recovery of funds from Dana Martin, and the sale of assets allow Windermere to move the recovery of what Staff maintains are unreasonable expenses</w:t>
      </w:r>
      <w:r w:rsidR="00606891">
        <w:t xml:space="preserve"> out of base rates, which is precisely what should have occurred at the time the Board set its rates. The Commission has the opportunity to do what the Board should have: set rates that recover </w:t>
      </w:r>
      <w:r w:rsidR="00DE226B">
        <w:t>Windermere’s</w:t>
      </w:r>
      <w:r w:rsidR="00606891">
        <w:t xml:space="preserve"> reasonable costs of providing service.</w:t>
      </w:r>
      <w:r w:rsidR="00370CFE">
        <w:t xml:space="preserve"> </w:t>
      </w:r>
    </w:p>
    <w:p w14:paraId="1B43C35D" w14:textId="5039A3E7" w:rsidR="005C4D44" w:rsidRDefault="00DE226B" w:rsidP="00921159">
      <w:pPr>
        <w:spacing w:line="360" w:lineRule="auto"/>
        <w:ind w:firstLine="720"/>
      </w:pPr>
      <w:r>
        <w:t>While Staff recognizes that some of it</w:t>
      </w:r>
      <w:r w:rsidR="00FE5645">
        <w:t>s</w:t>
      </w:r>
      <w:r>
        <w:t xml:space="preserve"> </w:t>
      </w:r>
      <w:r w:rsidR="007F1FF6">
        <w:t xml:space="preserve">proposed measures are unprecedented, perhaps that is because there is little precedent for a case like this one. There is very little precedent for rate appeals involving water supply corporations, period. </w:t>
      </w:r>
      <w:r w:rsidR="00694B8E">
        <w:t>While the PFD sometimes distinguishes WSCs from IOUs, and sometimes likens them to municipalities</w:t>
      </w:r>
      <w:r w:rsidR="00FE7E0E">
        <w:t xml:space="preserve"> or for-profit entities, WSCs are unique. For this reason, Staff has proposed unique solutions, not with </w:t>
      </w:r>
      <w:r w:rsidR="00DD177E">
        <w:t>punitive intent, but to offer protection to ratepayers, who bear the legal costs incurred by the Board in a handful of proceedings</w:t>
      </w:r>
      <w:r w:rsidR="009F5458">
        <w:t xml:space="preserve"> as well as in this appeal. </w:t>
      </w:r>
    </w:p>
    <w:p w14:paraId="56578009" w14:textId="602F70DB" w:rsidR="005C4D44" w:rsidRDefault="009F5458" w:rsidP="00921159">
      <w:pPr>
        <w:spacing w:line="360" w:lineRule="auto"/>
        <w:ind w:firstLine="720"/>
      </w:pPr>
      <w:r>
        <w:lastRenderedPageBreak/>
        <w:t>Compliance dockets</w:t>
      </w:r>
      <w:r w:rsidR="00851255">
        <w:t xml:space="preserve"> for both refunds and recovery of rate case expenses</w:t>
      </w:r>
      <w:r>
        <w:t xml:space="preserve"> are familiar proceedings before the Commission.</w:t>
      </w:r>
      <w:r w:rsidR="00695EE0">
        <w:t xml:space="preserve"> A</w:t>
      </w:r>
      <w:r>
        <w:t xml:space="preserve"> compliance docket in which Windermere reports </w:t>
      </w:r>
      <w:r w:rsidR="0053592E">
        <w:t xml:space="preserve">recovery and repayment of legal debt </w:t>
      </w:r>
      <w:r w:rsidR="00FF05CF">
        <w:t xml:space="preserve">does not seem to be </w:t>
      </w:r>
      <w:r w:rsidR="00695EE0">
        <w:t>such a tremendous burden, given the financial burden that the ratepayers have been asked to bear</w:t>
      </w:r>
      <w:r w:rsidR="00851255">
        <w:t>.</w:t>
      </w:r>
      <w:r w:rsidR="00024BEB">
        <w:t xml:space="preserve"> Given Windermere’s struggle to present a coherent rate theory, and its tendency to misrepresent its financial situation, </w:t>
      </w:r>
      <w:r w:rsidR="00D94F8D">
        <w:t xml:space="preserve">perhaps a more reasonable path forward would be one that allows a bit more oversight, </w:t>
      </w:r>
      <w:r w:rsidR="00C314C2">
        <w:t>in a manner that is standard practice at the Commission.</w:t>
      </w:r>
      <w:r w:rsidR="00A80039">
        <w:t xml:space="preserve"> </w:t>
      </w:r>
      <w:r w:rsidR="005C4D44">
        <w:t>The Commission has also, in the past, ordered a utility to perform an independent management audit</w:t>
      </w:r>
      <w:r w:rsidR="008D2652">
        <w:t xml:space="preserve"> where there were questions regarding the</w:t>
      </w:r>
      <w:r w:rsidR="00651D76">
        <w:t xml:space="preserve"> non-profit water</w:t>
      </w:r>
      <w:r w:rsidR="008D2652">
        <w:t xml:space="preserve"> utility’s affiliate arrangement.</w:t>
      </w:r>
      <w:r w:rsidR="008D2652">
        <w:rPr>
          <w:rStyle w:val="FootnoteReference"/>
        </w:rPr>
        <w:footnoteReference w:id="84"/>
      </w:r>
      <w:r w:rsidR="00EF5F75">
        <w:t xml:space="preserve"> </w:t>
      </w:r>
      <w:r w:rsidR="000413E9">
        <w:t>Perhaps here, where Windermere’s yearly balance sheet</w:t>
      </w:r>
      <w:r w:rsidR="00B04B0B">
        <w:t>s</w:t>
      </w:r>
      <w:r w:rsidR="000413E9">
        <w:t xml:space="preserve"> do not accurately reflect its total assets and </w:t>
      </w:r>
      <w:r w:rsidR="00B04B0B">
        <w:t xml:space="preserve">liabilities, and do not reflect its substantial legal debt as either a current or long term liability, </w:t>
      </w:r>
      <w:r w:rsidR="00F67440">
        <w:t>the Commission’s oversight is warranted.</w:t>
      </w:r>
      <w:r w:rsidR="00A44517">
        <w:rPr>
          <w:rStyle w:val="FootnoteReference"/>
        </w:rPr>
        <w:footnoteReference w:id="85"/>
      </w:r>
      <w:r w:rsidR="00B04B0B">
        <w:t xml:space="preserve"> </w:t>
      </w:r>
    </w:p>
    <w:p w14:paraId="196FFA4C" w14:textId="1B414EB8" w:rsidR="00DE226B" w:rsidRPr="0093348C" w:rsidRDefault="00C314C2" w:rsidP="00921159">
      <w:pPr>
        <w:spacing w:line="360" w:lineRule="auto"/>
        <w:ind w:firstLine="720"/>
      </w:pPr>
      <w:r>
        <w:t xml:space="preserve">To the best of Staff’s knowledge, the Commission is not in the practice of adopting rates based on </w:t>
      </w:r>
      <w:r w:rsidR="0079049A">
        <w:t>a utility’s promise to lower rates just as soon as it can.</w:t>
      </w:r>
      <w:r w:rsidR="00851255">
        <w:t xml:space="preserve"> </w:t>
      </w:r>
      <w:r w:rsidR="009E436C">
        <w:t>Finally,</w:t>
      </w:r>
      <w:r w:rsidR="001C0432">
        <w:t xml:space="preserve"> though the PFD states that</w:t>
      </w:r>
      <w:r w:rsidR="009E436C">
        <w:t xml:space="preserve"> Staff’s </w:t>
      </w:r>
      <w:r w:rsidR="001C0432">
        <w:t xml:space="preserve">recommendations are “premised on unsupported </w:t>
      </w:r>
      <w:r w:rsidR="009E436C">
        <w:t>assertion</w:t>
      </w:r>
      <w:r w:rsidR="001C0432">
        <w:t>s</w:t>
      </w:r>
      <w:r w:rsidR="009E436C">
        <w:t xml:space="preserve"> that Windermere inappropriately incurred unlimited legal expenses</w:t>
      </w:r>
      <w:r w:rsidR="001C0432">
        <w:t>”, Staff’s recommendation</w:t>
      </w:r>
      <w:r w:rsidR="009E436C">
        <w:t xml:space="preserve"> is premised on the fact that nowhere in the record does any limit exist, despite Staff’s best efforts at drawing out a definition.</w:t>
      </w:r>
      <w:r w:rsidR="00C05C0D">
        <w:rPr>
          <w:rStyle w:val="FootnoteReference"/>
        </w:rPr>
        <w:footnoteReference w:id="86"/>
      </w:r>
    </w:p>
    <w:p w14:paraId="0F750D4B" w14:textId="0B4B8045" w:rsidR="0034461C" w:rsidRDefault="0034461C" w:rsidP="00566436">
      <w:pPr>
        <w:pStyle w:val="Style2"/>
        <w:numPr>
          <w:ilvl w:val="2"/>
          <w:numId w:val="13"/>
        </w:numPr>
        <w:spacing w:line="240" w:lineRule="auto"/>
        <w:jc w:val="both"/>
      </w:pPr>
      <w:bookmarkStart w:id="37" w:name="_Toc140498332"/>
      <w:r>
        <w:t>Windermere’s Position</w:t>
      </w:r>
      <w:bookmarkEnd w:id="37"/>
    </w:p>
    <w:p w14:paraId="6A849614" w14:textId="6E82E92D" w:rsidR="00EA3E84" w:rsidRDefault="00EA3E84" w:rsidP="00EA3E84">
      <w:pPr>
        <w:spacing w:line="360" w:lineRule="auto"/>
        <w:ind w:firstLine="720"/>
      </w:pPr>
      <w:r>
        <w:t>Staff has discussed at length the glaring inconsistencies in Windermere’s rate design and its supporting arguments, but</w:t>
      </w:r>
      <w:r w:rsidR="00B11231">
        <w:t xml:space="preserve"> in the PFD’s summary of Windermere’s position,</w:t>
      </w:r>
      <w:r>
        <w:t xml:space="preserve"> one such assertion stands out</w:t>
      </w:r>
      <w:r w:rsidR="00B11231">
        <w:t xml:space="preserve"> from</w:t>
      </w:r>
      <w:r w:rsidR="00E0379A">
        <w:t xml:space="preserve"> all others</w:t>
      </w:r>
      <w:r w:rsidR="00B11231">
        <w:t xml:space="preserve"> The PFD </w:t>
      </w:r>
      <w:r w:rsidR="00E0379A">
        <w:t>quotes Windermere as saying</w:t>
      </w:r>
      <w:r w:rsidR="005F7670">
        <w:t xml:space="preserve"> that, “as a non-profit water supply corporation, the only assets Windermere owns it uses ‘in furtherance of the legitimate business of a water supply cooperative.’ It therefore has no excess assets to sell.”</w:t>
      </w:r>
      <w:r w:rsidR="005F7670">
        <w:rPr>
          <w:rStyle w:val="FootnoteReference"/>
        </w:rPr>
        <w:footnoteReference w:id="87"/>
      </w:r>
      <w:r>
        <w:t xml:space="preserve"> </w:t>
      </w:r>
    </w:p>
    <w:p w14:paraId="389B5852" w14:textId="13C699D8" w:rsidR="006B4530" w:rsidRDefault="006B4530" w:rsidP="00EA3E84">
      <w:pPr>
        <w:spacing w:line="360" w:lineRule="auto"/>
        <w:ind w:firstLine="720"/>
      </w:pPr>
      <w:r>
        <w:t xml:space="preserve">The circular logic in this claim is astounding. </w:t>
      </w:r>
      <w:r w:rsidR="00587226">
        <w:t>By that same logic, if Windermere owned a Shetland pony, it would be an asset used “in furtherance of the legitimate business of a water supply cooperative.” Unless Windermere is in the business of offering pony rides</w:t>
      </w:r>
      <w:r w:rsidR="007076B3">
        <w:t xml:space="preserve"> as part and parcel </w:t>
      </w:r>
      <w:r w:rsidR="007076B3">
        <w:lastRenderedPageBreak/>
        <w:t>of water service, then it has excess assets. Here, Windermere’s Shetland pony is a valuable piece of property located within its service area</w:t>
      </w:r>
      <w:r w:rsidR="00C30D3E">
        <w:t xml:space="preserve">. </w:t>
      </w:r>
      <w:r w:rsidR="00E00A79">
        <w:t>If Windermere’s situation is so dire, and it felt that its only option was to raise rates</w:t>
      </w:r>
      <w:r w:rsidR="00CC25E3">
        <w:t xml:space="preserve"> because it was under siege from what it paints as a small contingency of rabble rousers, Staff would expect that Windermere would have </w:t>
      </w:r>
      <w:r w:rsidR="00B32FE0">
        <w:t xml:space="preserve">taken all possible steps to avoid raising its rates. It did not. Windermere cannot, on one hand, say that its only option was to raise rates, while, on the other hand, it sits on </w:t>
      </w:r>
      <w:r w:rsidR="001D02B3">
        <w:t>6.1</w:t>
      </w:r>
      <w:r w:rsidR="00DD668F">
        <w:t>9</w:t>
      </w:r>
      <w:r w:rsidR="001D02B3">
        <w:t xml:space="preserve"> acres</w:t>
      </w:r>
      <w:r w:rsidR="00B32FE0">
        <w:t xml:space="preserve"> of property</w:t>
      </w:r>
      <w:r w:rsidR="00DD668F">
        <w:t xml:space="preserve"> that has been valued</w:t>
      </w:r>
      <w:r w:rsidR="00412153">
        <w:t>, by a Board-hired appraiser,</w:t>
      </w:r>
      <w:r w:rsidR="00DD668F">
        <w:t xml:space="preserve"> at $130,000 per acre</w:t>
      </w:r>
      <w:r w:rsidR="00A86081">
        <w:t>.</w:t>
      </w:r>
      <w:r w:rsidR="001D02B3">
        <w:rPr>
          <w:rStyle w:val="FootnoteReference"/>
        </w:rPr>
        <w:footnoteReference w:id="88"/>
      </w:r>
      <w:r w:rsidR="000F1357">
        <w:t xml:space="preserve"> </w:t>
      </w:r>
    </w:p>
    <w:p w14:paraId="2A41EEA8" w14:textId="14D591BE" w:rsidR="000F1357" w:rsidRPr="00EA3E84" w:rsidRDefault="000F1357" w:rsidP="00EA3E84">
      <w:pPr>
        <w:spacing w:line="360" w:lineRule="auto"/>
        <w:ind w:firstLine="720"/>
      </w:pPr>
      <w:r>
        <w:t>The PFD also notes that Windermere witness Grant Rabon testified “</w:t>
      </w:r>
      <w:r w:rsidR="006B3A69" w:rsidRPr="006B3A69">
        <w:t>that there is no incentive for WOWSC to maintain the rates at current levels any longer than is necessary to ensure the financial integrity of the utility</w:t>
      </w:r>
      <w:r w:rsidR="006B3A69">
        <w:t>.”</w:t>
      </w:r>
      <w:r w:rsidR="008E4A40">
        <w:rPr>
          <w:rStyle w:val="FootnoteReference"/>
        </w:rPr>
        <w:footnoteReference w:id="89"/>
      </w:r>
      <w:r w:rsidR="006B3A69">
        <w:t xml:space="preserve"> </w:t>
      </w:r>
      <w:r w:rsidR="00C50D4B">
        <w:t xml:space="preserve">There is such an incentive. Windermere is incentivized to keep the rates high because the </w:t>
      </w:r>
      <w:r w:rsidR="005B4514">
        <w:t xml:space="preserve">additional </w:t>
      </w:r>
      <w:r w:rsidR="00C50D4B">
        <w:t xml:space="preserve">income allows it to spend as much money as it wants on legal expenses </w:t>
      </w:r>
      <w:r w:rsidR="000C718B">
        <w:t xml:space="preserve">to defend </w:t>
      </w:r>
      <w:r w:rsidR="001C1AD7">
        <w:t xml:space="preserve">several of </w:t>
      </w:r>
      <w:r w:rsidR="000C718B">
        <w:t>the same</w:t>
      </w:r>
      <w:r w:rsidR="00C50D4B">
        <w:t xml:space="preserve"> Board members</w:t>
      </w:r>
      <w:r w:rsidR="000C718B">
        <w:t xml:space="preserve"> who voted to increase the rates</w:t>
      </w:r>
      <w:r w:rsidR="00220EE5">
        <w:t>,</w:t>
      </w:r>
      <w:r w:rsidR="000C718B">
        <w:t xml:space="preserve"> </w:t>
      </w:r>
      <w:r w:rsidR="00220EE5">
        <w:t>as well as</w:t>
      </w:r>
      <w:r w:rsidR="000C718B">
        <w:t xml:space="preserve"> to pay the same law firm that advised the </w:t>
      </w:r>
      <w:r w:rsidR="001C1AD7">
        <w:t>Board on the appealed</w:t>
      </w:r>
      <w:r w:rsidR="000C718B">
        <w:t xml:space="preserve"> rates and is now being paid to defend the rates. </w:t>
      </w:r>
      <w:r w:rsidR="001C1AD7">
        <w:t xml:space="preserve">As long as Windermere is generating revenue </w:t>
      </w:r>
      <w:r w:rsidR="005E6E9E">
        <w:t xml:space="preserve">that allows it to pay $250,000 per </w:t>
      </w:r>
      <w:r w:rsidR="00673119">
        <w:t>year</w:t>
      </w:r>
      <w:r w:rsidR="005E6E9E">
        <w:t xml:space="preserve"> in legal expenses, its law firm can continue to defend those rates indefinitely. If the rates are high, Windermere can pay its lawyers indefinitely to try to keep the rates in place. </w:t>
      </w:r>
      <w:r w:rsidR="008F771B">
        <w:t xml:space="preserve">At this point, the legal expenses are almost self-perpetuating. The rates were raised because of extensive legal fees, and now even more legal expenses have been incurred in an effort to defend those rates. </w:t>
      </w:r>
      <w:r w:rsidR="00A82DDB">
        <w:t xml:space="preserve">By Windermere’s logic, and the PFDs, the rates </w:t>
      </w:r>
      <w:r w:rsidR="00BF133B">
        <w:t xml:space="preserve">must </w:t>
      </w:r>
      <w:r w:rsidR="00A82DDB">
        <w:t>remain high because Windermere has to defend the high rates.</w:t>
      </w:r>
      <w:r w:rsidR="00673119">
        <w:t xml:space="preserve"> </w:t>
      </w:r>
      <w:r w:rsidR="00A832F1">
        <w:t>Raise the rates high enough that members will appeal</w:t>
      </w:r>
      <w:r w:rsidR="009040FD">
        <w:t xml:space="preserve">, hire attorneys to defend those rates, then argue that the rates must remain in place to cover the costs of appeal. </w:t>
      </w:r>
      <w:r w:rsidR="00A832F1">
        <w:t xml:space="preserve">It is a perpetual motion machine of </w:t>
      </w:r>
      <w:r w:rsidR="009040FD">
        <w:t xml:space="preserve">legal </w:t>
      </w:r>
      <w:r w:rsidR="00A832F1">
        <w:t>expense</w:t>
      </w:r>
      <w:r w:rsidR="000500D5">
        <w:t>, one that relies on constant contributions from Windermere’s members</w:t>
      </w:r>
      <w:r w:rsidR="00A832F1">
        <w:t>.</w:t>
      </w:r>
      <w:r w:rsidR="00700C98">
        <w:t xml:space="preserve"> Staff </w:t>
      </w:r>
      <w:r w:rsidR="000500D5">
        <w:t xml:space="preserve">believes that the Commission has the authority </w:t>
      </w:r>
      <w:r w:rsidR="00D57DC5">
        <w:t xml:space="preserve">to disrupt a system </w:t>
      </w:r>
      <w:r w:rsidR="000500D5">
        <w:t xml:space="preserve">that continuously generates </w:t>
      </w:r>
      <w:r w:rsidR="0047247A">
        <w:t>debt</w:t>
      </w:r>
      <w:r w:rsidR="00D57DC5">
        <w:t xml:space="preserve"> for Windermere’s members.</w:t>
      </w:r>
      <w:r w:rsidR="0047247A">
        <w:t xml:space="preserve"> </w:t>
      </w:r>
    </w:p>
    <w:p w14:paraId="188BBE08" w14:textId="172A1364" w:rsidR="001B25EA" w:rsidRDefault="001B25EA" w:rsidP="00301E18">
      <w:pPr>
        <w:pStyle w:val="Style2"/>
        <w:keepNext w:val="0"/>
        <w:numPr>
          <w:ilvl w:val="3"/>
          <w:numId w:val="13"/>
        </w:numPr>
        <w:spacing w:line="240" w:lineRule="auto"/>
        <w:jc w:val="both"/>
      </w:pPr>
      <w:bookmarkStart w:id="38" w:name="_Toc140498333"/>
      <w:r>
        <w:t>Analysis</w:t>
      </w:r>
      <w:bookmarkEnd w:id="38"/>
    </w:p>
    <w:p w14:paraId="29BC0526" w14:textId="77777777" w:rsidR="0007243A" w:rsidRDefault="00D57DC5" w:rsidP="00D57DC5">
      <w:pPr>
        <w:spacing w:line="360" w:lineRule="auto"/>
        <w:ind w:firstLine="720"/>
      </w:pPr>
      <w:r>
        <w:t>In the PFD, the ALJs state that they “</w:t>
      </w:r>
      <w:r w:rsidR="00694BC1" w:rsidRPr="00694BC1">
        <w:t>are not aware of any authority to require, or even expect, a governing body, on appeal, to exhaust all other sources of</w:t>
      </w:r>
      <w:r w:rsidR="00694BC1">
        <w:t xml:space="preserve"> </w:t>
      </w:r>
      <w:r w:rsidR="00694BC1" w:rsidRPr="00694BC1">
        <w:t>revenu</w:t>
      </w:r>
      <w:r w:rsidR="00694BC1">
        <w:t>e—</w:t>
      </w:r>
      <w:r w:rsidR="00694BC1" w:rsidRPr="00694BC1">
        <w:t xml:space="preserve">including selling </w:t>
      </w:r>
      <w:r w:rsidR="00694BC1" w:rsidRPr="00694BC1">
        <w:lastRenderedPageBreak/>
        <w:t>itself-in evaluating financial integrity</w:t>
      </w:r>
      <w:r w:rsidR="00694BC1">
        <w:t>.”</w:t>
      </w:r>
      <w:r w:rsidR="00694BC1">
        <w:rPr>
          <w:rStyle w:val="FootnoteReference"/>
        </w:rPr>
        <w:footnoteReference w:id="90"/>
      </w:r>
      <w:r w:rsidR="00694BC1">
        <w:t xml:space="preserve"> </w:t>
      </w:r>
      <w:r w:rsidR="008408B3">
        <w:t xml:space="preserve">From Staff’s perspective, common sense dictates that a utility cannot complain that its financial integrity will disintegrate without a certain amount of money from water and sewer revenue when it is sitting on a pile of gold. </w:t>
      </w:r>
      <w:r w:rsidR="00D851CA">
        <w:t xml:space="preserve">One must look to the overall financial health of the utility to determine exactly how much money it needs to recover from rates in order to maintain financial stability. </w:t>
      </w:r>
      <w:r w:rsidR="0007243A">
        <w:t xml:space="preserve">Rates do not exist in a vacuum. Assets, other revenues, and water and sewer revenue are all components of a utility’s financial well-being. </w:t>
      </w:r>
    </w:p>
    <w:p w14:paraId="443696E1" w14:textId="116D2EEA" w:rsidR="00D57DC5" w:rsidRDefault="0007243A" w:rsidP="00D57DC5">
      <w:pPr>
        <w:spacing w:line="360" w:lineRule="auto"/>
        <w:ind w:firstLine="720"/>
      </w:pPr>
      <w:r>
        <w:t>As to the disasters that loom large</w:t>
      </w:r>
      <w:r w:rsidR="00E72026">
        <w:t xml:space="preserve">, should Windermere not be allowed to sustain the appealed rates, there is no guarantee that such tragedies would strike. </w:t>
      </w:r>
      <w:r w:rsidR="005F72AB">
        <w:t xml:space="preserve">After all, if Windermere could sell </w:t>
      </w:r>
      <w:r w:rsidR="00A94F9F">
        <w:t xml:space="preserve">the land that it owns, which is not being used in the course of providing service, it could generate revenue </w:t>
      </w:r>
      <w:r w:rsidR="005265C1">
        <w:t xml:space="preserve">as high as $800,000. Further, </w:t>
      </w:r>
      <w:r w:rsidR="00EA7978">
        <w:t>t</w:t>
      </w:r>
      <w:r w:rsidR="005265C1">
        <w:t xml:space="preserve">here is no written agreement between Windermere and its lawyers that it must pay </w:t>
      </w:r>
      <w:r w:rsidR="00FA40A9">
        <w:t>$20,000.</w:t>
      </w:r>
      <w:r w:rsidR="00EA7978">
        <w:rPr>
          <w:rStyle w:val="FootnoteReference"/>
        </w:rPr>
        <w:footnoteReference w:id="91"/>
      </w:r>
      <w:r w:rsidR="00FA40A9">
        <w:t xml:space="preserve"> </w:t>
      </w:r>
      <w:r w:rsidR="00EA7978">
        <w:t>Windermere has offered no evidence that it attempted to negotiate a lower monthly payment</w:t>
      </w:r>
      <w:r w:rsidR="00C9032C">
        <w:t xml:space="preserve">, and as previously noted, recently received a payment from Allied World that should be dedicated to Windermere’s legal fees. </w:t>
      </w:r>
      <w:r w:rsidR="0022433D">
        <w:t xml:space="preserve">Additionally, as Staff demonstrated in the </w:t>
      </w:r>
      <w:r w:rsidR="00365F8E">
        <w:t>“Other Revenues” section, Windermere’s base rates are significantly higher than is necessary, given its volumetric and other revenues.</w:t>
      </w:r>
      <w:r w:rsidR="00EE1397">
        <w:t xml:space="preserve"> There is other money besides th</w:t>
      </w:r>
      <w:r w:rsidR="00E879CE">
        <w:t>at which is</w:t>
      </w:r>
      <w:r w:rsidR="00EE1397">
        <w:t xml:space="preserve"> generated through water and sewer service.</w:t>
      </w:r>
    </w:p>
    <w:p w14:paraId="5D980223" w14:textId="7642D6EB" w:rsidR="001530F1" w:rsidRDefault="002133D5" w:rsidP="00D57DC5">
      <w:pPr>
        <w:spacing w:line="360" w:lineRule="auto"/>
        <w:ind w:firstLine="720"/>
      </w:pPr>
      <w:r>
        <w:t xml:space="preserve">While Staff </w:t>
      </w:r>
      <w:r w:rsidR="00904289">
        <w:t>maintains</w:t>
      </w:r>
      <w:r>
        <w:t xml:space="preserve"> that it was unreasonable for Windermere to incur the bulk of the expenses that it did, it recognizes that Windermere’s legal debts must be paid. </w:t>
      </w:r>
      <w:r w:rsidR="00C62C2A">
        <w:t>However, a</w:t>
      </w:r>
      <w:r>
        <w:t xml:space="preserve">s extraordinary expenses, </w:t>
      </w:r>
      <w:r w:rsidR="000D7E22">
        <w:t>those amounts should not be recovered through base rates. Instead, they should be treated as unusual expenses, primarily recovered through non-member income</w:t>
      </w:r>
      <w:r w:rsidR="00925C27">
        <w:t>. Windermere has yet to articulate a consistent ratemaking principle, let alone a traditional calculation of rates. Windermere claimed to use the cash-needs basis for its calculations. That was false. Though not required under TWC § 13.</w:t>
      </w:r>
      <w:r w:rsidR="00F21324">
        <w:t xml:space="preserve">181(a) to use a test year plus known and measurable changes, such a calculation would have at least made sense. </w:t>
      </w:r>
      <w:r w:rsidR="006C1410">
        <w:t>Instead, it appears that Windermere pulled several overinflated numbers from a very expensive hat and then adopted rates that, in fact, recovered even more that Windermere stated that they would.</w:t>
      </w:r>
    </w:p>
    <w:p w14:paraId="67132F53" w14:textId="77777777" w:rsidR="008D720E" w:rsidRDefault="000466E9" w:rsidP="00D57DC5">
      <w:pPr>
        <w:spacing w:line="360" w:lineRule="auto"/>
        <w:ind w:firstLine="720"/>
      </w:pPr>
      <w:r>
        <w:lastRenderedPageBreak/>
        <w:t>Staff is surprised to find, buried in the PFD at page 49, a passing reference to some “confusion</w:t>
      </w:r>
      <w:r w:rsidR="004A6ED5">
        <w:t xml:space="preserve"> regarding the interplay between the use of historical data in the TRWA analysis and the forward-looking 2020 budget in arriving at the rates ultimately adopted by the board.” </w:t>
      </w:r>
    </w:p>
    <w:p w14:paraId="600EEA82" w14:textId="57707226" w:rsidR="008D720E" w:rsidRDefault="004A6ED5" w:rsidP="00D57DC5">
      <w:pPr>
        <w:spacing w:line="360" w:lineRule="auto"/>
        <w:ind w:firstLine="720"/>
      </w:pPr>
      <w:r>
        <w:t>First, it is surprising that</w:t>
      </w:r>
      <w:r w:rsidR="0030693A">
        <w:t xml:space="preserve"> the</w:t>
      </w:r>
      <w:r w:rsidR="001806E9">
        <w:t xml:space="preserve"> significant</w:t>
      </w:r>
      <w:r w:rsidR="0030693A">
        <w:t xml:space="preserve"> </w:t>
      </w:r>
      <w:r>
        <w:t>misdirection by the Board</w:t>
      </w:r>
      <w:r w:rsidR="0030693A">
        <w:t>,</w:t>
      </w:r>
      <w:r>
        <w:t xml:space="preserve"> </w:t>
      </w:r>
      <w:r w:rsidR="0030693A">
        <w:t>which</w:t>
      </w:r>
      <w:r>
        <w:t xml:space="preserve"> caused so much confusion over the course of this proceeding</w:t>
      </w:r>
      <w:r w:rsidR="0030693A">
        <w:t>,</w:t>
      </w:r>
      <w:r>
        <w:t xml:space="preserve"> gets</w:t>
      </w:r>
      <w:r w:rsidR="005A5B24">
        <w:t xml:space="preserve"> a mere nod before the PFD goes on to take</w:t>
      </w:r>
      <w:r w:rsidR="0030693A">
        <w:t>,</w:t>
      </w:r>
      <w:r w:rsidR="005A5B24">
        <w:t xml:space="preserve"> on faith</w:t>
      </w:r>
      <w:r w:rsidR="0030693A">
        <w:t xml:space="preserve"> alone,</w:t>
      </w:r>
      <w:r w:rsidR="005A5B24">
        <w:t xml:space="preserve"> all of the Board’s assertions of impending doom. </w:t>
      </w:r>
      <w:r w:rsidR="00EE60A3">
        <w:t>The fact that Windermere lied for years over the course of this proceeding, necessitating extensive discovery and constant r</w:t>
      </w:r>
      <w:r w:rsidR="00241E41">
        <w:t>eevaluation of Windermere’s position</w:t>
      </w:r>
      <w:r w:rsidR="001806E9">
        <w:t>,</w:t>
      </w:r>
      <w:r w:rsidR="00241E41">
        <w:t xml:space="preserve"> is far more significant than the PFD credits. </w:t>
      </w:r>
      <w:r w:rsidR="00040E00">
        <w:t xml:space="preserve">Windermere’s misrepresentations have resulted in a sprawling record and equally sprawling expense for all parties. Of course, Windermere’s ratepayers will bear these costs, even as the Board members who provided conflicting information </w:t>
      </w:r>
      <w:r w:rsidR="00837966">
        <w:t xml:space="preserve">suffer zero consequences. </w:t>
      </w:r>
    </w:p>
    <w:p w14:paraId="5F0E4FB7" w14:textId="7FA2B445" w:rsidR="000466E9" w:rsidRPr="00D57DC5" w:rsidRDefault="00837966" w:rsidP="00D57DC5">
      <w:pPr>
        <w:spacing w:line="360" w:lineRule="auto"/>
        <w:ind w:firstLine="720"/>
      </w:pPr>
      <w:r>
        <w:t>Second, Staff can safely say, at this point,</w:t>
      </w:r>
      <w:r w:rsidR="00206F1E">
        <w:t xml:space="preserve"> that</w:t>
      </w:r>
      <w:r>
        <w:t xml:space="preserve"> there is no confusion about </w:t>
      </w:r>
      <w:r w:rsidR="00852DE2">
        <w:t>the interplay between the</w:t>
      </w:r>
      <w:r>
        <w:t xml:space="preserve"> historical data in the TRWA study and the forward looking budget</w:t>
      </w:r>
      <w:r w:rsidR="00852DE2">
        <w:t>.</w:t>
      </w:r>
      <w:r w:rsidR="00D17719">
        <w:t xml:space="preserve"> Windermere, despite stating for over a year that it used the TRWA study to set rates, and maintaining even now that its revenue requirement is $576,192, </w:t>
      </w:r>
      <w:r w:rsidR="004557DA">
        <w:t>was providing false information to the parties and the Commission. Instead, Board members involved in the Dana Martin land deal, who wanted their legal expenses advance</w:t>
      </w:r>
      <w:r w:rsidR="00880F01">
        <w:t>d</w:t>
      </w:r>
      <w:r w:rsidR="004557DA">
        <w:t xml:space="preserve">, created a budget that </w:t>
      </w:r>
      <w:r w:rsidR="00A83E57">
        <w:t>overestimated</w:t>
      </w:r>
      <w:r w:rsidR="004557DA">
        <w:t xml:space="preserve"> Windermere’s expenses</w:t>
      </w:r>
      <w:r w:rsidR="008D720E">
        <w:t>. The Board then adopted rates based on the inflated budget. Those rates recover even more than the inflated budget would have necessitated.</w:t>
      </w:r>
      <w:r w:rsidR="00760012">
        <w:t xml:space="preserve"> Once more, let it be clear: Windermere did not set its rates using the TRWA rate design or the TRWA revenue requirement.</w:t>
      </w:r>
    </w:p>
    <w:p w14:paraId="4405ECD5" w14:textId="77777777" w:rsidR="00AA7221" w:rsidRDefault="00AA7221" w:rsidP="00206F1E">
      <w:pPr>
        <w:pStyle w:val="Style2"/>
        <w:numPr>
          <w:ilvl w:val="2"/>
          <w:numId w:val="13"/>
        </w:numPr>
        <w:spacing w:line="240" w:lineRule="auto"/>
        <w:jc w:val="both"/>
      </w:pPr>
      <w:bookmarkStart w:id="39" w:name="_Toc140498334"/>
      <w:r>
        <w:t>Rate Design and Allocation</w:t>
      </w:r>
      <w:bookmarkEnd w:id="39"/>
    </w:p>
    <w:p w14:paraId="325B7C80" w14:textId="77777777" w:rsidR="00AA7221" w:rsidRDefault="00AA7221" w:rsidP="00301E18">
      <w:pPr>
        <w:pStyle w:val="Style2"/>
        <w:keepNext w:val="0"/>
        <w:numPr>
          <w:ilvl w:val="3"/>
          <w:numId w:val="13"/>
        </w:numPr>
        <w:spacing w:line="240" w:lineRule="auto"/>
        <w:jc w:val="both"/>
      </w:pPr>
      <w:bookmarkStart w:id="40" w:name="_Toc140498335"/>
      <w:r>
        <w:t>Staff’s Position</w:t>
      </w:r>
      <w:bookmarkEnd w:id="40"/>
    </w:p>
    <w:p w14:paraId="7AC3FB29" w14:textId="77777777" w:rsidR="00AA7221" w:rsidRDefault="00AA7221" w:rsidP="00301E18">
      <w:pPr>
        <w:pStyle w:val="Style2"/>
        <w:keepNext w:val="0"/>
        <w:numPr>
          <w:ilvl w:val="3"/>
          <w:numId w:val="13"/>
        </w:numPr>
        <w:spacing w:line="240" w:lineRule="auto"/>
        <w:jc w:val="both"/>
      </w:pPr>
      <w:bookmarkStart w:id="41" w:name="_Toc140498336"/>
      <w:r>
        <w:t>Windermere’s Position</w:t>
      </w:r>
      <w:bookmarkEnd w:id="41"/>
    </w:p>
    <w:p w14:paraId="4B874ABB" w14:textId="20140C3C" w:rsidR="00AA7221" w:rsidRDefault="00AA7221" w:rsidP="00301E18">
      <w:pPr>
        <w:pStyle w:val="Style2"/>
        <w:keepNext w:val="0"/>
        <w:numPr>
          <w:ilvl w:val="3"/>
          <w:numId w:val="13"/>
        </w:numPr>
        <w:spacing w:line="240" w:lineRule="auto"/>
        <w:jc w:val="both"/>
      </w:pPr>
      <w:bookmarkStart w:id="42" w:name="_Toc140498337"/>
      <w:r>
        <w:t>Analysis</w:t>
      </w:r>
      <w:bookmarkEnd w:id="42"/>
    </w:p>
    <w:p w14:paraId="3C26210E" w14:textId="63F43872" w:rsidR="00997862" w:rsidRDefault="00997862" w:rsidP="00083D49">
      <w:pPr>
        <w:spacing w:line="360" w:lineRule="auto"/>
        <w:ind w:firstLine="720"/>
      </w:pPr>
      <w:r>
        <w:t xml:space="preserve">In its analysis of Windermere’s rate design and allocation, the PFD </w:t>
      </w:r>
      <w:r w:rsidR="00083D49">
        <w:t>again glosses over the fact that</w:t>
      </w:r>
      <w:r w:rsidR="002165C0">
        <w:t xml:space="preserve">, once again, Windermere misrepresented the provision of service in Windermere. </w:t>
      </w:r>
      <w:r w:rsidR="00C37845">
        <w:t>S</w:t>
      </w:r>
      <w:r w:rsidR="002165C0">
        <w:t>mall airport hangars</w:t>
      </w:r>
      <w:r w:rsidR="00C37845">
        <w:t xml:space="preserve"> do not</w:t>
      </w:r>
      <w:r w:rsidR="002165C0">
        <w:t xml:space="preserve"> have the same customer characteristics as residential customers</w:t>
      </w:r>
      <w:r w:rsidR="00C37845">
        <w:t xml:space="preserve">, despite Windermere’s arguments to the contrary. </w:t>
      </w:r>
      <w:r w:rsidR="0002259C">
        <w:t>The PFD also highlights, once again, th</w:t>
      </w:r>
      <w:r w:rsidR="00DA17CE">
        <w:t>at</w:t>
      </w:r>
      <w:r w:rsidR="0002259C">
        <w:t xml:space="preserve"> Windermere should be allowed to maintain its rates because it promises to reduce its rates as soon as possible. </w:t>
      </w:r>
      <w:r w:rsidR="00DD2047">
        <w:t xml:space="preserve">The PFD fails to recognize that Windermere did not bother to reduce its rates at all when it realized that it was over-recovering by $20,000 or more per year </w:t>
      </w:r>
      <w:r w:rsidR="00134281">
        <w:t>because Windermere calculated</w:t>
      </w:r>
      <w:r w:rsidR="00DD2047">
        <w:t xml:space="preserve"> its rates </w:t>
      </w:r>
      <w:r w:rsidR="00DD2047">
        <w:lastRenderedPageBreak/>
        <w:t xml:space="preserve">using the wrong number of connections. </w:t>
      </w:r>
      <w:r w:rsidR="00134281">
        <w:t>Finally, the fact that a WSC can change its rates at any time is not an argument in support of finding existing rates to be reasonable.</w:t>
      </w:r>
    </w:p>
    <w:p w14:paraId="373421E7" w14:textId="1C5E21EE" w:rsidR="00134281" w:rsidRPr="00997862" w:rsidRDefault="00134281" w:rsidP="00083D49">
      <w:pPr>
        <w:spacing w:line="360" w:lineRule="auto"/>
        <w:ind w:firstLine="720"/>
      </w:pPr>
      <w:r>
        <w:t xml:space="preserve">The PFD also argues that Staff provides </w:t>
      </w:r>
      <w:r w:rsidR="00ED6980">
        <w:t xml:space="preserve">no basis for finding that Windermere’s rate design is unreasonable. Staff believes that the basis is self-evident. Customers who use </w:t>
      </w:r>
      <w:r w:rsidR="004D5131">
        <w:t>more</w:t>
      </w:r>
      <w:r w:rsidR="00ED6980">
        <w:t xml:space="preserve"> water should pay a correspondingly higher amount of the </w:t>
      </w:r>
      <w:r w:rsidR="004D5131">
        <w:t xml:space="preserve">legitimate costs of service. </w:t>
      </w:r>
      <w:r w:rsidR="0064778C">
        <w:t>Regardless of the revenue requirement that the Commission adopts, that is a principle that holds true.</w:t>
      </w:r>
    </w:p>
    <w:p w14:paraId="204AC512" w14:textId="4B4BEB17" w:rsidR="00AA7221" w:rsidRDefault="00AA7221" w:rsidP="00FF5733">
      <w:pPr>
        <w:pStyle w:val="Style2"/>
        <w:numPr>
          <w:ilvl w:val="1"/>
          <w:numId w:val="13"/>
        </w:numPr>
        <w:spacing w:line="240" w:lineRule="auto"/>
        <w:jc w:val="both"/>
      </w:pPr>
      <w:bookmarkStart w:id="43" w:name="_Toc140498338"/>
      <w:r>
        <w:t>Rate Case Expenses</w:t>
      </w:r>
      <w:bookmarkEnd w:id="43"/>
    </w:p>
    <w:p w14:paraId="707401C0" w14:textId="4B393866" w:rsidR="00047AA4" w:rsidRDefault="00047AA4" w:rsidP="00047AA4">
      <w:pPr>
        <w:spacing w:line="360" w:lineRule="auto"/>
        <w:ind w:firstLine="720"/>
      </w:pPr>
      <w:r>
        <w:t xml:space="preserve">Costs of appeal </w:t>
      </w:r>
      <w:r w:rsidR="00E04DF9">
        <w:t>n</w:t>
      </w:r>
      <w:r>
        <w:t>ow sit at over $6</w:t>
      </w:r>
      <w:r w:rsidR="006514A0">
        <w:t>57</w:t>
      </w:r>
      <w:r>
        <w:t>,000.</w:t>
      </w:r>
      <w:r w:rsidR="00E04DF9">
        <w:rPr>
          <w:rStyle w:val="FootnoteReference"/>
        </w:rPr>
        <w:footnoteReference w:id="92"/>
      </w:r>
      <w:r>
        <w:t xml:space="preserve"> Much as with Windermere’s external legal expenses, if Staff could reasonably argue that Windermere should </w:t>
      </w:r>
      <w:r w:rsidR="001F1407">
        <w:t xml:space="preserve">somehow be denied the right to recover that entire amount, it would. Unfortunately, Windermere has tied a $675,000 albatross around its neck and </w:t>
      </w:r>
      <w:r w:rsidR="004D18C5">
        <w:t>is now obligated to pay what it owes. It is obvious that Windermere has misrepresented its revenue requirement. Over and over</w:t>
      </w:r>
      <w:r w:rsidR="00A72E7B">
        <w:t>,</w:t>
      </w:r>
      <w:r w:rsidR="004D18C5">
        <w:t xml:space="preserve"> it said that the TRWA rate design reflected its financial needs. Over and over, it said it had no source of income but its water and sewer revenue. </w:t>
      </w:r>
      <w:r w:rsidR="00512D41">
        <w:t>Both of these statements were</w:t>
      </w:r>
      <w:r w:rsidR="004D18C5">
        <w:t xml:space="preserve"> patently false. Windermere knew that its revenue requirement was </w:t>
      </w:r>
      <w:r w:rsidR="008F1139">
        <w:t xml:space="preserve">the amount set out in the 2020 annual budget. </w:t>
      </w:r>
      <w:r w:rsidR="00406B49">
        <w:t>Windermere</w:t>
      </w:r>
      <w:r w:rsidR="008F1139">
        <w:t xml:space="preserve"> knew that it applied offsets from other revenue </w:t>
      </w:r>
      <w:r w:rsidR="00406B49">
        <w:t>in order</w:t>
      </w:r>
      <w:r w:rsidR="008F1139">
        <w:t xml:space="preserve"> to arrive at an amount that</w:t>
      </w:r>
      <w:r w:rsidR="00406B49">
        <w:t xml:space="preserve"> it would</w:t>
      </w:r>
      <w:r w:rsidR="008F1139">
        <w:t xml:space="preserve"> need to </w:t>
      </w:r>
      <w:r w:rsidR="00406B49">
        <w:t>recover</w:t>
      </w:r>
      <w:r w:rsidR="008F1139">
        <w:t xml:space="preserve"> from its rates. </w:t>
      </w:r>
      <w:r w:rsidR="00406B49">
        <w:t>It knew that the</w:t>
      </w:r>
      <w:r w:rsidR="0060633C">
        <w:t xml:space="preserve"> amount was not $576,192.</w:t>
      </w:r>
      <w:r w:rsidR="00D308AA">
        <w:t xml:space="preserve"> Windermere knew that its rates were designed to recover costs of service well over the amounts shown in the TRWA worksheet. </w:t>
      </w:r>
    </w:p>
    <w:p w14:paraId="3867E438" w14:textId="2C0F22E2" w:rsidR="00D308AA" w:rsidRDefault="00D308AA" w:rsidP="00047AA4">
      <w:pPr>
        <w:spacing w:line="360" w:lineRule="auto"/>
        <w:ind w:firstLine="720"/>
      </w:pPr>
      <w:r>
        <w:t>This misdirection le</w:t>
      </w:r>
      <w:r w:rsidR="00592FE4">
        <w:t>d to an incredible amount of confusion</w:t>
      </w:r>
      <w:r w:rsidR="00416916">
        <w:t>—</w:t>
      </w:r>
      <w:r w:rsidR="00592FE4">
        <w:t>an incredible amount of head scratching</w:t>
      </w:r>
      <w:r w:rsidR="00416916">
        <w:t>—</w:t>
      </w:r>
      <w:r w:rsidR="00592FE4">
        <w:t xml:space="preserve">as Staff tried to reconcile numbers that just did not add up. It wasn’t until Staff pored over months and months of Windermere’s Board meeting minutes that it </w:t>
      </w:r>
      <w:r w:rsidR="00BA7504">
        <w:t xml:space="preserve">realized that Windermere was recovering far, far more than the $576,192 that it said it needed to avoid financial collapse. Windermere’s obfuscation generated extensive discovery that would have otherwise been unnecessary. </w:t>
      </w:r>
      <w:r w:rsidR="00861E2F">
        <w:t xml:space="preserve">Instead, a utility represented by a firm with extensive industry experience, provided a rate design that did not show its costs of service, </w:t>
      </w:r>
      <w:r w:rsidR="00961D34">
        <w:t xml:space="preserve">did not include its substantial other revenues, and was not actually the basis for the rates that it eventually adopted. Now, the ratepayers will be responsible for paying for the defense of rates that are not connected to Windermere’s </w:t>
      </w:r>
      <w:r w:rsidR="00394475">
        <w:t xml:space="preserve">financial responsibilities in any way. </w:t>
      </w:r>
    </w:p>
    <w:p w14:paraId="13765938" w14:textId="40FC5569" w:rsidR="006C5258" w:rsidRDefault="00394475" w:rsidP="00047AA4">
      <w:pPr>
        <w:spacing w:line="360" w:lineRule="auto"/>
        <w:ind w:firstLine="720"/>
      </w:pPr>
      <w:r>
        <w:lastRenderedPageBreak/>
        <w:t xml:space="preserve">Again and again, Windermere has moved the target, saying that its operating costs are $576,192 and that the rates must therefore recover $576,192. </w:t>
      </w:r>
      <w:r w:rsidR="00BF251F">
        <w:t xml:space="preserve">The rates actually recover </w:t>
      </w:r>
      <w:r w:rsidR="00D710FE">
        <w:t>approximately $597,000.</w:t>
      </w:r>
      <w:r w:rsidR="00D710FE">
        <w:rPr>
          <w:rStyle w:val="FootnoteReference"/>
        </w:rPr>
        <w:footnoteReference w:id="93"/>
      </w:r>
      <w:r w:rsidR="00D24F81">
        <w:t xml:space="preserve"> </w:t>
      </w:r>
      <w:r w:rsidR="001B1444">
        <w:t>Windermere’s 2020</w:t>
      </w:r>
      <w:r w:rsidR="00D24F81">
        <w:t xml:space="preserve"> budget indicates that </w:t>
      </w:r>
      <w:r w:rsidR="001B1444">
        <w:t>its expenses would be approximately $643,565.</w:t>
      </w:r>
      <w:r w:rsidR="001D59DE">
        <w:rPr>
          <w:rStyle w:val="FootnoteReference"/>
        </w:rPr>
        <w:footnoteReference w:id="94"/>
      </w:r>
      <w:r w:rsidR="001B1444">
        <w:t xml:space="preserve"> Windermere’s budgeted annual recovery, including other revenues, was </w:t>
      </w:r>
      <w:r w:rsidR="001D59DE">
        <w:t>approximately $675,000.</w:t>
      </w:r>
      <w:r w:rsidR="001D59DE">
        <w:rPr>
          <w:rStyle w:val="FootnoteReference"/>
        </w:rPr>
        <w:footnoteReference w:id="95"/>
      </w:r>
      <w:r w:rsidR="001D59DE">
        <w:t xml:space="preserve"> Staff sifted </w:t>
      </w:r>
      <w:r w:rsidR="00F629CC">
        <w:t xml:space="preserve">through </w:t>
      </w:r>
      <w:r w:rsidR="001D59DE">
        <w:t>thousands of pages of discovery</w:t>
      </w:r>
      <w:r w:rsidR="00AB2E49">
        <w:t xml:space="preserve"> to finally arrive at </w:t>
      </w:r>
      <w:r w:rsidR="00F629CC">
        <w:t>a</w:t>
      </w:r>
      <w:r w:rsidR="00AB2E49">
        <w:t xml:space="preserve"> conclusion that is derived from Windermere’s actual numbers. At no time did Windermere provide a concise, coherent rate design that accurately reflects its income and expenses. </w:t>
      </w:r>
      <w:r w:rsidR="009928C2">
        <w:t>Despite this, despite the fact that Windermere has made it incredibly difficult for the parties t</w:t>
      </w:r>
      <w:r w:rsidR="00B84A3B">
        <w:t>o determine the</w:t>
      </w:r>
      <w:r w:rsidR="009928C2">
        <w:t xml:space="preserve"> basis of th</w:t>
      </w:r>
      <w:r w:rsidR="00B84A3B">
        <w:t>e very</w:t>
      </w:r>
      <w:r w:rsidR="009928C2">
        <w:t xml:space="preserve"> rates</w:t>
      </w:r>
      <w:r w:rsidR="00B84A3B">
        <w:t xml:space="preserve"> that Windermere is obligated to show are just and reasonable, Windermere expects to collect </w:t>
      </w:r>
      <w:r w:rsidR="006514A0">
        <w:t>$6</w:t>
      </w:r>
      <w:r w:rsidR="00E04DF9">
        <w:t>57</w:t>
      </w:r>
      <w:r w:rsidR="006514A0">
        <w:t>,</w:t>
      </w:r>
      <w:r w:rsidR="00E04DF9">
        <w:t>065 in costs of appeal</w:t>
      </w:r>
      <w:r w:rsidR="00482D57">
        <w:t xml:space="preserve">, which is almost equal to Windermere’s yearly income. </w:t>
      </w:r>
      <w:r w:rsidR="002A58EF">
        <w:t xml:space="preserve">This, because </w:t>
      </w:r>
      <w:r w:rsidR="00482D57">
        <w:t>Windemere</w:t>
      </w:r>
      <w:r w:rsidR="006C5258">
        <w:t xml:space="preserve"> never managed to put together a valid, mathematically sound rate design. </w:t>
      </w:r>
    </w:p>
    <w:p w14:paraId="6F7714E9" w14:textId="1317305E" w:rsidR="00AA7221" w:rsidRDefault="00AA7221" w:rsidP="00301E18">
      <w:pPr>
        <w:pStyle w:val="Style2"/>
        <w:keepNext w:val="0"/>
        <w:numPr>
          <w:ilvl w:val="2"/>
          <w:numId w:val="13"/>
        </w:numPr>
        <w:spacing w:line="240" w:lineRule="auto"/>
        <w:jc w:val="both"/>
      </w:pPr>
      <w:bookmarkStart w:id="44" w:name="_Toc140498339"/>
      <w:r>
        <w:t>Recovery Mechanism</w:t>
      </w:r>
      <w:bookmarkEnd w:id="44"/>
    </w:p>
    <w:p w14:paraId="2F7678BB" w14:textId="7E49AB6E" w:rsidR="00D8407C" w:rsidRDefault="00D8407C" w:rsidP="00C270CA">
      <w:pPr>
        <w:spacing w:line="360" w:lineRule="auto"/>
        <w:ind w:firstLine="720"/>
      </w:pPr>
      <w:r>
        <w:t>Windermere positions itself as a hapless, well-intentioned nonprofit comprised of volunteers who are doing their best to serve their community. In actuality, Windermere’s efforts to obscure the fact that it was paying a quarter of a million dollars per year in legal expenses and</w:t>
      </w:r>
      <w:r w:rsidR="00C270CA">
        <w:t xml:space="preserve"> </w:t>
      </w:r>
      <w:r>
        <w:t>incurr</w:t>
      </w:r>
      <w:r w:rsidR="00C270CA">
        <w:t>ed</w:t>
      </w:r>
      <w:r>
        <w:t xml:space="preserve"> twice that much debt in 2020 and 2021, tremendously complicated a matter that should have come down to basic math. Because Windermere was unforthcoming, its costs of appeal are absurdly high. The best that Staff can recommend is that the Commission s</w:t>
      </w:r>
      <w:r w:rsidR="006A4BF3">
        <w:t>hield the ratepayers</w:t>
      </w:r>
      <w:r>
        <w:t xml:space="preserve"> as much as possible, distributing the recovery over an extended amount of time</w:t>
      </w:r>
      <w:r w:rsidR="00581071">
        <w:t>, five years</w:t>
      </w:r>
      <w:r>
        <w:t xml:space="preserve">. </w:t>
      </w:r>
    </w:p>
    <w:p w14:paraId="7BA74CCD" w14:textId="224CB39B" w:rsidR="00765910" w:rsidRPr="00765910" w:rsidRDefault="00D8407C" w:rsidP="00D8407C">
      <w:pPr>
        <w:spacing w:line="360" w:lineRule="auto"/>
        <w:ind w:firstLine="720"/>
      </w:pPr>
      <w:r>
        <w:t xml:space="preserve">Finally, should recovery of trailing expenses be recoverable through a compliance docket, for which there is no statutory authority when the utility is a WSC, Staff can only hope that the Commission sees the benefit of incorporating an examination of repayment of all of Windermere’s many and varied legal expenses. After all, since </w:t>
      </w:r>
      <w:r w:rsidR="00581071">
        <w:t xml:space="preserve">all of </w:t>
      </w:r>
      <w:r>
        <w:t xml:space="preserve">Windermere’s legal expenses are inextricably linked, and the appealed rates exist solely to pay off those expenses, the Commission has a genuine interest in ensuring that Windermere’s debts are being adequately addressed by the rates it ultimately adopts. Staff fails to see why an accelerated recovery of appeals costs is </w:t>
      </w:r>
      <w:r>
        <w:lastRenderedPageBreak/>
        <w:t>necessary, particularly when it only punishes the ratepayers and sanctions Windermere’s shoddy defense of its rates.</w:t>
      </w:r>
    </w:p>
    <w:p w14:paraId="466A1286" w14:textId="764B0639" w:rsidR="00AA7221" w:rsidRDefault="00AA7221" w:rsidP="00301E18">
      <w:pPr>
        <w:pStyle w:val="Style2"/>
        <w:keepNext w:val="0"/>
        <w:numPr>
          <w:ilvl w:val="0"/>
          <w:numId w:val="13"/>
        </w:numPr>
        <w:spacing w:line="240" w:lineRule="auto"/>
        <w:jc w:val="both"/>
      </w:pPr>
      <w:bookmarkStart w:id="45" w:name="_Toc140498340"/>
      <w:r>
        <w:t>C</w:t>
      </w:r>
      <w:r w:rsidR="00B445B5">
        <w:t>ONCLUSION</w:t>
      </w:r>
      <w:bookmarkEnd w:id="45"/>
    </w:p>
    <w:p w14:paraId="6E557D76" w14:textId="6D56E8E4" w:rsidR="00080D1B" w:rsidRPr="00EA05D4" w:rsidRDefault="00D331F7" w:rsidP="006F4708">
      <w:pPr>
        <w:spacing w:line="360" w:lineRule="auto"/>
        <w:ind w:firstLine="720"/>
      </w:pPr>
      <w:r>
        <w:t>In the end, the Commission has the opportunity to set rates that are fair to the ratepayers a</w:t>
      </w:r>
      <w:r w:rsidR="00C16111">
        <w:t xml:space="preserve">nd allow Windermere to continue to provide service to its members. </w:t>
      </w:r>
      <w:r w:rsidR="00023A92">
        <w:t xml:space="preserve">The Commission can, and should, set rates that recover only reasonable and necessary costs of service, relegating recovery of extraordinary expenses to other </w:t>
      </w:r>
      <w:r w:rsidR="00EF6C97">
        <w:t xml:space="preserve">revenues such as equity buy-in and stand-by fees. Given Windermere’s accounting inconsistencies, the Commission has ample grounds to require </w:t>
      </w:r>
      <w:r w:rsidR="00F32589">
        <w:t>Windermere to perform a professional audit to examine Windermere’s overall financial health and accounting practices.</w:t>
      </w:r>
      <w:r w:rsidR="00EF6C97">
        <w:t xml:space="preserve"> </w:t>
      </w:r>
      <w:r w:rsidR="00216972">
        <w:t>The Commission can</w:t>
      </w:r>
      <w:r w:rsidR="00EF6C97">
        <w:t xml:space="preserve"> also</w:t>
      </w:r>
      <w:r w:rsidR="00216972">
        <w:t xml:space="preserve"> order that a compliance docket be opened so that it has oversight over Windermere until its legal debt is satisfied.</w:t>
      </w:r>
      <w:r w:rsidR="00F32589">
        <w:t xml:space="preserve"> This “suite” of </w:t>
      </w:r>
      <w:r w:rsidR="00F13600">
        <w:t xml:space="preserve">oversight measures </w:t>
      </w:r>
      <w:r w:rsidR="000671A9">
        <w:t>is not designed to punish Windermere. It is designed to offer protection to the ratepayers and guidance to Windermere. If the goal is to ensure that Windermere’s rates are just and reasonable, this is the best way that Staff knows how.</w:t>
      </w:r>
      <w:r w:rsidR="005B5EFE" w:rsidRPr="005B5EFE">
        <w:rPr>
          <w:rStyle w:val="FootnoteReference"/>
        </w:rPr>
        <w:t xml:space="preserve"> </w:t>
      </w:r>
      <w:r w:rsidR="005B5EFE">
        <w:rPr>
          <w:rStyle w:val="FootnoteReference"/>
        </w:rPr>
        <w:footnoteReference w:id="96"/>
      </w:r>
    </w:p>
    <w:sectPr w:rsidR="00080D1B" w:rsidRPr="00EA05D4" w:rsidSect="00626378">
      <w:headerReference w:type="default" r:id="rId12"/>
      <w:pgSz w:w="12240" w:h="15840" w:code="1"/>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55D0" w14:textId="77777777" w:rsidR="00AF40D4" w:rsidRDefault="00AF40D4">
      <w:r>
        <w:separator/>
      </w:r>
    </w:p>
  </w:endnote>
  <w:endnote w:type="continuationSeparator" w:id="0">
    <w:p w14:paraId="7FF4FA8A" w14:textId="77777777" w:rsidR="00AF40D4" w:rsidRDefault="00AF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mperorPS">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B3EE" w14:textId="77777777" w:rsidR="003635A3" w:rsidRDefault="003635A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959BDC" w14:textId="77777777" w:rsidR="003635A3" w:rsidRDefault="003635A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0F1B" w14:textId="77777777" w:rsidR="00AF40D4" w:rsidRDefault="00AF40D4">
      <w:r>
        <w:separator/>
      </w:r>
    </w:p>
  </w:footnote>
  <w:footnote w:type="continuationSeparator" w:id="0">
    <w:p w14:paraId="359B34D7" w14:textId="77777777" w:rsidR="00AF40D4" w:rsidRDefault="00AF40D4">
      <w:r>
        <w:continuationSeparator/>
      </w:r>
    </w:p>
  </w:footnote>
  <w:footnote w:id="1">
    <w:p w14:paraId="053F5AC8" w14:textId="77777777" w:rsidR="0072643C" w:rsidRPr="00A60AB9" w:rsidRDefault="0072643C" w:rsidP="00EA3499">
      <w:pPr>
        <w:pStyle w:val="FootnoteText"/>
        <w:spacing w:after="120"/>
        <w:ind w:firstLine="720"/>
      </w:pPr>
      <w:r>
        <w:rPr>
          <w:rStyle w:val="FootnoteReference"/>
        </w:rPr>
        <w:footnoteRef/>
      </w:r>
      <w:r>
        <w:t xml:space="preserve">  </w:t>
      </w:r>
      <w:r w:rsidRPr="003B51B9">
        <w:rPr>
          <w:i/>
          <w:iCs/>
        </w:rPr>
        <w:t>Appeal of Water and Sewer Rates Charged by the Town of Woodloch CCN Nos. 12312 and 20141</w:t>
      </w:r>
      <w:r>
        <w:t xml:space="preserve">, Docket No. 42862, Order at Conclusion of Law 13 (Mar. 7, 2016). </w:t>
      </w:r>
    </w:p>
  </w:footnote>
  <w:footnote w:id="2">
    <w:p w14:paraId="4CFC6695" w14:textId="22EF4F6E" w:rsidR="007729C6" w:rsidRDefault="007729C6" w:rsidP="00EA3499">
      <w:pPr>
        <w:pStyle w:val="FootnoteText"/>
        <w:spacing w:after="120"/>
        <w:ind w:firstLine="720"/>
      </w:pPr>
      <w:r>
        <w:rPr>
          <w:rStyle w:val="FootnoteReference"/>
        </w:rPr>
        <w:footnoteRef/>
      </w:r>
      <w:r>
        <w:t xml:space="preserve"> </w:t>
      </w:r>
      <w:r w:rsidR="001F1EF7">
        <w:t xml:space="preserve"> </w:t>
      </w:r>
      <w:r w:rsidR="001F1EF7">
        <w:t>HoM Tr. Day 1 at 19</w:t>
      </w:r>
      <w:r w:rsidR="001C3F41">
        <w:t>9</w:t>
      </w:r>
      <w:r w:rsidR="001F1EF7">
        <w:t xml:space="preserve"> (</w:t>
      </w:r>
      <w:r w:rsidR="001C3F41">
        <w:t>Nelson</w:t>
      </w:r>
      <w:r w:rsidR="001F1EF7">
        <w:t xml:space="preserve"> Cross) (Dec. 1, 2021).</w:t>
      </w:r>
      <w:r>
        <w:t xml:space="preserve"> </w:t>
      </w:r>
    </w:p>
  </w:footnote>
  <w:footnote w:id="3">
    <w:p w14:paraId="054E2C5D" w14:textId="593006C7" w:rsidR="003F6390" w:rsidRDefault="003F6390" w:rsidP="00EA3499">
      <w:pPr>
        <w:pStyle w:val="FootnoteText"/>
        <w:spacing w:after="120"/>
        <w:ind w:firstLine="720"/>
      </w:pPr>
      <w:r>
        <w:rPr>
          <w:rStyle w:val="FootnoteReference"/>
        </w:rPr>
        <w:footnoteRef/>
      </w:r>
      <w:r>
        <w:t xml:space="preserve">  </w:t>
      </w:r>
      <w:r w:rsidR="00AF6B1F">
        <w:t>As Staff will demonstrate in a later section and has already demonstrated in testimony and briefing, t</w:t>
      </w:r>
      <w:r w:rsidR="00FE373C">
        <w:t xml:space="preserve">he appealed rates generate </w:t>
      </w:r>
      <w:r w:rsidR="0058751C">
        <w:t>more money from water and sewer service revenue than Windermere claimed it needed to generate</w:t>
      </w:r>
      <w:r w:rsidR="003E0512">
        <w:t xml:space="preserve">. </w:t>
      </w:r>
    </w:p>
  </w:footnote>
  <w:footnote w:id="4">
    <w:p w14:paraId="6A8A4F98" w14:textId="77777777" w:rsidR="006B6B85" w:rsidRPr="006B6B85" w:rsidRDefault="006B6B85" w:rsidP="00EA3499">
      <w:pPr>
        <w:pStyle w:val="FootnoteText"/>
        <w:spacing w:after="120"/>
        <w:ind w:firstLine="720"/>
      </w:pPr>
      <w:r>
        <w:rPr>
          <w:rStyle w:val="FootnoteReference"/>
        </w:rPr>
        <w:footnoteRef/>
      </w:r>
      <w:r>
        <w:t xml:space="preserve">  </w:t>
      </w:r>
      <w:r>
        <w:rPr>
          <w:i/>
          <w:iCs/>
        </w:rPr>
        <w:t xml:space="preserve">See </w:t>
      </w:r>
      <w:r>
        <w:t>Attachment A, Windermere Income Comparison.</w:t>
      </w:r>
    </w:p>
  </w:footnote>
  <w:footnote w:id="5">
    <w:p w14:paraId="571C691D" w14:textId="77777777" w:rsidR="0066679B" w:rsidRPr="003572F9" w:rsidRDefault="0066679B" w:rsidP="00EA3499">
      <w:pPr>
        <w:pStyle w:val="FootnoteText"/>
        <w:spacing w:after="120"/>
        <w:ind w:firstLine="720"/>
      </w:pPr>
      <w:r>
        <w:rPr>
          <w:rStyle w:val="FootnoteReference"/>
        </w:rPr>
        <w:footnoteRef/>
      </w:r>
      <w:r>
        <w:t xml:space="preserve">  From 2015-2019, Windermere’s average yearly income was </w:t>
      </w:r>
      <w:r w:rsidR="007B7064">
        <w:t xml:space="preserve">471,331. </w:t>
      </w:r>
      <w:r w:rsidR="00000362">
        <w:rPr>
          <w:i/>
          <w:iCs/>
        </w:rPr>
        <w:t xml:space="preserve">See </w:t>
      </w:r>
      <w:r w:rsidR="007B7064">
        <w:t xml:space="preserve">Staff </w:t>
      </w:r>
      <w:r w:rsidR="007B7064">
        <w:t>HoM 2 Ex. 48.</w:t>
      </w:r>
      <w:r w:rsidR="00D55B3C">
        <w:t xml:space="preserve"> Over the course of 52 months, Windermere incurred </w:t>
      </w:r>
      <w:r w:rsidR="003572F9">
        <w:t>an average of $453,246 per year in legal debt.</w:t>
      </w:r>
      <w:r>
        <w:t xml:space="preserve"> </w:t>
      </w:r>
      <w:r w:rsidR="003572F9">
        <w:rPr>
          <w:i/>
          <w:iCs/>
        </w:rPr>
        <w:t>See</w:t>
      </w:r>
      <w:r w:rsidR="003572F9">
        <w:t xml:space="preserve"> Ratepayers HoM 2 Exhibit </w:t>
      </w:r>
      <w:r w:rsidR="004E60D8">
        <w:t xml:space="preserve">144B; </w:t>
      </w:r>
      <w:r w:rsidR="00E975D5" w:rsidRPr="00E975D5">
        <w:rPr>
          <w:i/>
          <w:iCs/>
        </w:rPr>
        <w:t>Ratepayers Appeal of the Decision by Windermere Oaks Water Supply Corporation to Change Water and Sewer Rates</w:t>
      </w:r>
      <w:r w:rsidR="00E975D5">
        <w:t xml:space="preserve">, Docket No. 50788, </w:t>
      </w:r>
      <w:r w:rsidR="004E60D8" w:rsidRPr="004E60D8">
        <w:t>Affidavit of Jamie L. Mauldin Related to the Rate Case Expenses of Windermere Oaks Water Supply Corporation</w:t>
      </w:r>
      <w:r w:rsidR="00E975D5">
        <w:t xml:space="preserve"> at </w:t>
      </w:r>
      <w:r w:rsidR="00000362">
        <w:t>5</w:t>
      </w:r>
      <w:r w:rsidR="004E60D8">
        <w:t>.</w:t>
      </w:r>
    </w:p>
  </w:footnote>
  <w:footnote w:id="6">
    <w:p w14:paraId="77F950C7" w14:textId="77777777" w:rsidR="00424040" w:rsidRDefault="00424040" w:rsidP="00EA3499">
      <w:pPr>
        <w:pStyle w:val="FootnoteText"/>
        <w:spacing w:after="120"/>
        <w:ind w:firstLine="720"/>
      </w:pPr>
      <w:r>
        <w:rPr>
          <w:rStyle w:val="FootnoteReference"/>
        </w:rPr>
        <w:footnoteRef/>
      </w:r>
      <w:r>
        <w:t xml:space="preserve">  PFD at 8-9 (internal citations omitted). </w:t>
      </w:r>
    </w:p>
  </w:footnote>
  <w:footnote w:id="7">
    <w:p w14:paraId="329CDAEE" w14:textId="6FC8ED71" w:rsidR="00A81F9B" w:rsidRDefault="00A81F9B" w:rsidP="00EA3499">
      <w:pPr>
        <w:pStyle w:val="FootnoteText"/>
        <w:spacing w:after="120"/>
        <w:ind w:firstLine="720"/>
      </w:pPr>
      <w:r>
        <w:rPr>
          <w:rStyle w:val="FootnoteReference"/>
        </w:rPr>
        <w:footnoteRef/>
      </w:r>
      <w:r>
        <w:t xml:space="preserve">  WOWSC Ex. 3 (Gimenez Reb.), Attachment JG - 25 (</w:t>
      </w:r>
      <w:r w:rsidRPr="008C71E3">
        <w:rPr>
          <w:i/>
          <w:iCs/>
        </w:rPr>
        <w:t>Double F Hangar Lawsuit</w:t>
      </w:r>
      <w:r>
        <w:t xml:space="preserve"> First Amended Petition) at </w:t>
      </w:r>
      <w:r w:rsidR="008C71E3">
        <w:t>4-5</w:t>
      </w:r>
      <w:r>
        <w:t xml:space="preserve">, </w:t>
      </w:r>
      <w:r w:rsidRPr="008C71E3">
        <w:rPr>
          <w:i/>
          <w:iCs/>
        </w:rPr>
        <w:t xml:space="preserve">Rene Ffrench, John Richard Dial, Stuart Bruce </w:t>
      </w:r>
      <w:r w:rsidRPr="008C71E3">
        <w:rPr>
          <w:i/>
          <w:iCs/>
        </w:rPr>
        <w:t xml:space="preserve">Sorgen, and as </w:t>
      </w:r>
      <w:r w:rsidR="00CC24D5" w:rsidRPr="008C71E3">
        <w:rPr>
          <w:i/>
          <w:iCs/>
        </w:rPr>
        <w:t xml:space="preserve">Representatives </w:t>
      </w:r>
      <w:r w:rsidRPr="008C71E3">
        <w:rPr>
          <w:i/>
          <w:iCs/>
        </w:rPr>
        <w:t xml:space="preserve">for Windermere Oaks Water </w:t>
      </w:r>
      <w:r w:rsidR="00F3294D" w:rsidRPr="008C71E3">
        <w:rPr>
          <w:i/>
          <w:iCs/>
        </w:rPr>
        <w:t>Supply</w:t>
      </w:r>
      <w:r w:rsidRPr="008C71E3">
        <w:rPr>
          <w:i/>
          <w:iCs/>
        </w:rPr>
        <w:t xml:space="preserve"> Corporation </w:t>
      </w:r>
      <w:r w:rsidR="00CC24D5" w:rsidRPr="008C71E3">
        <w:rPr>
          <w:i/>
          <w:iCs/>
        </w:rPr>
        <w:t>v</w:t>
      </w:r>
      <w:r w:rsidRPr="008C71E3">
        <w:rPr>
          <w:i/>
          <w:iCs/>
        </w:rPr>
        <w:t xml:space="preserve">. Friendship Homes </w:t>
      </w:r>
      <w:r w:rsidR="00124131">
        <w:rPr>
          <w:i/>
          <w:iCs/>
        </w:rPr>
        <w:t>&amp;</w:t>
      </w:r>
      <w:r w:rsidRPr="008C71E3">
        <w:rPr>
          <w:i/>
          <w:iCs/>
        </w:rPr>
        <w:t xml:space="preserve"> Hangars, LLC, WOWSC, and its Directors William Earnest; Thomas Michael Madden; Dana Martin; Robert</w:t>
      </w:r>
      <w:r w:rsidR="00124131">
        <w:rPr>
          <w:i/>
          <w:iCs/>
        </w:rPr>
        <w:t xml:space="preserve"> </w:t>
      </w:r>
      <w:r w:rsidRPr="008C71E3">
        <w:rPr>
          <w:i/>
          <w:iCs/>
        </w:rPr>
        <w:t>Mebane, and Patrick Mulligan (originally styled Double F Hangar Operations, LLC, L</w:t>
      </w:r>
      <w:r w:rsidR="00124131">
        <w:rPr>
          <w:i/>
          <w:iCs/>
        </w:rPr>
        <w:t>aw</w:t>
      </w:r>
      <w:r w:rsidRPr="008C71E3">
        <w:rPr>
          <w:i/>
          <w:iCs/>
        </w:rPr>
        <w:t>rence R. Ffrench, Jr., Patricia Flunker, and Mark A. McDonald</w:t>
      </w:r>
      <w:r w:rsidR="00124131">
        <w:rPr>
          <w:i/>
          <w:iCs/>
        </w:rPr>
        <w:t xml:space="preserve"> v</w:t>
      </w:r>
      <w:r w:rsidRPr="008C71E3">
        <w:rPr>
          <w:i/>
          <w:iCs/>
        </w:rPr>
        <w:t>. Friendship Homes</w:t>
      </w:r>
      <w:r w:rsidR="0027701C">
        <w:rPr>
          <w:i/>
          <w:iCs/>
        </w:rPr>
        <w:t xml:space="preserve"> &amp;</w:t>
      </w:r>
      <w:r w:rsidRPr="008C71E3">
        <w:rPr>
          <w:i/>
          <w:iCs/>
        </w:rPr>
        <w:t xml:space="preserve"> Hangars, LLC , and Burne</w:t>
      </w:r>
      <w:r w:rsidR="0027701C">
        <w:rPr>
          <w:i/>
          <w:iCs/>
        </w:rPr>
        <w:t>t</w:t>
      </w:r>
      <w:r w:rsidRPr="008C71E3">
        <w:rPr>
          <w:i/>
          <w:iCs/>
        </w:rPr>
        <w:t xml:space="preserve"> County Commissioners Court</w:t>
      </w:r>
      <w:r>
        <w:t xml:space="preserve">, No. 48292 (33rd Dist. Ct., Burnet County, Tex. </w:t>
      </w:r>
      <w:r w:rsidR="00CC24D5">
        <w:t>J</w:t>
      </w:r>
      <w:r>
        <w:t>uly 9,</w:t>
      </w:r>
      <w:r w:rsidR="00CC24D5">
        <w:t xml:space="preserve"> </w:t>
      </w:r>
      <w:r>
        <w:t>2018) (</w:t>
      </w:r>
      <w:r w:rsidRPr="00CE2F01">
        <w:rPr>
          <w:i/>
          <w:iCs/>
        </w:rPr>
        <w:t xml:space="preserve">Double F Hangar </w:t>
      </w:r>
      <w:r w:rsidR="00CE2F01" w:rsidRPr="00CE2F01">
        <w:rPr>
          <w:i/>
          <w:iCs/>
        </w:rPr>
        <w:t>Lawsuit</w:t>
      </w:r>
      <w:r w:rsidR="00CE2F01">
        <w:t>).</w:t>
      </w:r>
    </w:p>
  </w:footnote>
  <w:footnote w:id="8">
    <w:p w14:paraId="3FAAF677" w14:textId="023F2EF4" w:rsidR="00020FA0" w:rsidRPr="00020FA0" w:rsidRDefault="00020FA0" w:rsidP="00EA3499">
      <w:pPr>
        <w:pStyle w:val="FootnoteText"/>
        <w:spacing w:after="120"/>
        <w:ind w:firstLine="720"/>
        <w:rPr>
          <w:i/>
          <w:iCs/>
        </w:rPr>
      </w:pPr>
      <w:r>
        <w:rPr>
          <w:rStyle w:val="FootnoteReference"/>
        </w:rPr>
        <w:footnoteRef/>
      </w:r>
      <w:r>
        <w:t xml:space="preserve">  </w:t>
      </w:r>
      <w:r>
        <w:rPr>
          <w:i/>
          <w:iCs/>
        </w:rPr>
        <w:t>Id.</w:t>
      </w:r>
    </w:p>
  </w:footnote>
  <w:footnote w:id="9">
    <w:p w14:paraId="0D382EEE" w14:textId="1F29C684" w:rsidR="00161593" w:rsidRPr="0078545B" w:rsidRDefault="00161593" w:rsidP="00EA3499">
      <w:pPr>
        <w:pStyle w:val="FootnoteText"/>
        <w:spacing w:after="120"/>
        <w:ind w:firstLine="720"/>
      </w:pPr>
      <w:r>
        <w:rPr>
          <w:rStyle w:val="FootnoteReference"/>
        </w:rPr>
        <w:footnoteRef/>
      </w:r>
      <w:r>
        <w:t xml:space="preserve">  </w:t>
      </w:r>
      <w:r w:rsidR="0078545B">
        <w:rPr>
          <w:i/>
          <w:iCs/>
        </w:rPr>
        <w:t>Id.</w:t>
      </w:r>
      <w:r w:rsidR="0078545B">
        <w:t>, JG-21 at 13.</w:t>
      </w:r>
    </w:p>
  </w:footnote>
  <w:footnote w:id="10">
    <w:p w14:paraId="08D948F8" w14:textId="3D4DEEEB" w:rsidR="00020FA0" w:rsidRPr="00020FA0" w:rsidRDefault="00020FA0" w:rsidP="00EA3499">
      <w:pPr>
        <w:pStyle w:val="FootnoteText"/>
        <w:spacing w:after="120"/>
        <w:ind w:firstLine="720"/>
        <w:rPr>
          <w:i/>
          <w:iCs/>
        </w:rPr>
      </w:pPr>
      <w:r>
        <w:rPr>
          <w:rStyle w:val="FootnoteReference"/>
        </w:rPr>
        <w:footnoteRef/>
      </w:r>
      <w:r>
        <w:t xml:space="preserve">  </w:t>
      </w:r>
      <w:r>
        <w:rPr>
          <w:i/>
          <w:iCs/>
        </w:rPr>
        <w:t>Id.</w:t>
      </w:r>
    </w:p>
  </w:footnote>
  <w:footnote w:id="11">
    <w:p w14:paraId="5BCBAAB8" w14:textId="6A8BEB25" w:rsidR="00020FA0" w:rsidRPr="00020FA0" w:rsidRDefault="00020FA0" w:rsidP="00EA3499">
      <w:pPr>
        <w:pStyle w:val="FootnoteText"/>
        <w:spacing w:after="120"/>
        <w:ind w:firstLine="720"/>
        <w:rPr>
          <w:i/>
          <w:iCs/>
        </w:rPr>
      </w:pPr>
      <w:r>
        <w:rPr>
          <w:rStyle w:val="FootnoteReference"/>
        </w:rPr>
        <w:footnoteRef/>
      </w:r>
      <w:r>
        <w:t xml:space="preserve">  </w:t>
      </w:r>
      <w:r>
        <w:rPr>
          <w:i/>
          <w:iCs/>
        </w:rPr>
        <w:t>Id.</w:t>
      </w:r>
    </w:p>
  </w:footnote>
  <w:footnote w:id="12">
    <w:p w14:paraId="50E80109" w14:textId="50BDDA06" w:rsidR="00C14DFE" w:rsidRPr="00C14DFE" w:rsidRDefault="00C14DFE" w:rsidP="00EA3499">
      <w:pPr>
        <w:pStyle w:val="FootnoteText"/>
        <w:spacing w:after="120"/>
        <w:ind w:firstLine="720"/>
      </w:pPr>
      <w:r>
        <w:rPr>
          <w:rStyle w:val="FootnoteReference"/>
        </w:rPr>
        <w:footnoteRef/>
      </w:r>
      <w:r>
        <w:t xml:space="preserve">  </w:t>
      </w:r>
      <w:r>
        <w:rPr>
          <w:i/>
          <w:iCs/>
        </w:rPr>
        <w:t>Id.</w:t>
      </w:r>
      <w:r>
        <w:t>, JG-34.</w:t>
      </w:r>
    </w:p>
  </w:footnote>
  <w:footnote w:id="13">
    <w:p w14:paraId="4687A105" w14:textId="77777777" w:rsidR="00BC7034" w:rsidRDefault="00BC7034" w:rsidP="00EA3499">
      <w:pPr>
        <w:pStyle w:val="FootnoteText"/>
        <w:spacing w:after="120"/>
        <w:ind w:firstLine="720"/>
      </w:pPr>
      <w:r>
        <w:rPr>
          <w:rStyle w:val="FootnoteReference"/>
        </w:rPr>
        <w:footnoteRef/>
      </w:r>
      <w:r>
        <w:t xml:space="preserve">  Ratepayers Ex. 2</w:t>
      </w:r>
      <w:r w:rsidR="00526DE5">
        <w:t>7 at 21 (Windermere Bylaws).</w:t>
      </w:r>
    </w:p>
  </w:footnote>
  <w:footnote w:id="14">
    <w:p w14:paraId="45928672" w14:textId="77777777" w:rsidR="0011139E" w:rsidRDefault="0011139E" w:rsidP="00EA3499">
      <w:pPr>
        <w:pStyle w:val="FootnoteText"/>
        <w:spacing w:after="120"/>
        <w:ind w:firstLine="720"/>
      </w:pPr>
      <w:r>
        <w:rPr>
          <w:rStyle w:val="FootnoteReference"/>
        </w:rPr>
        <w:footnoteRef/>
      </w:r>
      <w:r>
        <w:t xml:space="preserve">  WOWSC Ex. 3 (Gimenez Reb.) at 12.</w:t>
      </w:r>
    </w:p>
  </w:footnote>
  <w:footnote w:id="15">
    <w:p w14:paraId="1D2A31C5" w14:textId="77777777" w:rsidR="008B3EB0" w:rsidRPr="008B3EB0" w:rsidRDefault="008B3EB0" w:rsidP="00EA3499">
      <w:pPr>
        <w:pStyle w:val="FootnoteText"/>
        <w:spacing w:after="120"/>
        <w:ind w:firstLine="720"/>
      </w:pPr>
      <w:r>
        <w:rPr>
          <w:rStyle w:val="FootnoteReference"/>
        </w:rPr>
        <w:footnoteRef/>
      </w:r>
      <w:r>
        <w:t xml:space="preserve">  </w:t>
      </w:r>
      <w:r>
        <w:rPr>
          <w:i/>
          <w:iCs/>
        </w:rPr>
        <w:t xml:space="preserve">See </w:t>
      </w:r>
      <w:r>
        <w:rPr>
          <w:i/>
          <w:iCs/>
        </w:rPr>
        <w:t>e.g.</w:t>
      </w:r>
      <w:r>
        <w:t xml:space="preserve"> WOWSC Ex. 3 (Gimenez Reb.) at </w:t>
      </w:r>
      <w:r w:rsidR="008B7E0D">
        <w:t xml:space="preserve">17. </w:t>
      </w:r>
    </w:p>
  </w:footnote>
  <w:footnote w:id="16">
    <w:p w14:paraId="2BF7A622" w14:textId="4F980B17" w:rsidR="00626576" w:rsidRDefault="00626576" w:rsidP="00EA3499">
      <w:pPr>
        <w:pStyle w:val="FootnoteText"/>
        <w:spacing w:after="120"/>
        <w:ind w:firstLine="720"/>
      </w:pPr>
      <w:r>
        <w:rPr>
          <w:rStyle w:val="FootnoteReference"/>
        </w:rPr>
        <w:footnoteRef/>
      </w:r>
      <w:r>
        <w:t xml:space="preserve">  Attachment B, Windermere Expense Comparison, reflecting a bevy of differences between the TRWA study and Windermere’s year-end financials, as well as Windermere’s 2020 budget.</w:t>
      </w:r>
    </w:p>
  </w:footnote>
  <w:footnote w:id="17">
    <w:p w14:paraId="76C40CEF" w14:textId="13D51950" w:rsidR="00AB2504" w:rsidRPr="00AB2504" w:rsidRDefault="00AB2504" w:rsidP="00EA3499">
      <w:pPr>
        <w:pStyle w:val="FootnoteText"/>
        <w:spacing w:after="120"/>
        <w:ind w:firstLine="720"/>
      </w:pPr>
      <w:r>
        <w:rPr>
          <w:rStyle w:val="FootnoteReference"/>
        </w:rPr>
        <w:footnoteRef/>
      </w:r>
      <w:r>
        <w:t xml:space="preserve">  </w:t>
      </w:r>
      <w:r w:rsidR="00626576">
        <w:rPr>
          <w:i/>
          <w:iCs/>
        </w:rPr>
        <w:t>Id.</w:t>
      </w:r>
    </w:p>
  </w:footnote>
  <w:footnote w:id="18">
    <w:p w14:paraId="5A3119C5" w14:textId="77777777" w:rsidR="006448BF" w:rsidRDefault="006448BF" w:rsidP="00EA3499">
      <w:pPr>
        <w:pStyle w:val="FootnoteText"/>
        <w:spacing w:after="120"/>
        <w:ind w:firstLine="720"/>
      </w:pPr>
      <w:r>
        <w:rPr>
          <w:rStyle w:val="FootnoteReference"/>
        </w:rPr>
        <w:footnoteRef/>
      </w:r>
      <w:r>
        <w:t xml:space="preserve">  </w:t>
      </w:r>
      <w:r>
        <w:t>HoM Tr. Day 1 at 196-197 (Gimenez Cross) (Dec. 1, 2021).</w:t>
      </w:r>
    </w:p>
  </w:footnote>
  <w:footnote w:id="19">
    <w:p w14:paraId="1FC56C8C" w14:textId="75ED9AE6" w:rsidR="00EF2041" w:rsidRDefault="00EF2041" w:rsidP="00EA3499">
      <w:pPr>
        <w:pStyle w:val="FootnoteText"/>
        <w:spacing w:after="120"/>
        <w:ind w:firstLine="720"/>
      </w:pPr>
      <w:r>
        <w:rPr>
          <w:rStyle w:val="FootnoteReference"/>
        </w:rPr>
        <w:footnoteRef/>
      </w:r>
      <w:r>
        <w:t xml:space="preserve"> </w:t>
      </w:r>
      <w:r w:rsidR="00C05445">
        <w:t xml:space="preserve"> </w:t>
      </w:r>
      <w:r w:rsidR="00BE33AE" w:rsidRPr="00C05445">
        <w:rPr>
          <w:i/>
          <w:iCs/>
        </w:rPr>
        <w:t>See</w:t>
      </w:r>
      <w:r w:rsidR="00BE33AE">
        <w:t xml:space="preserve"> Ratepayers </w:t>
      </w:r>
      <w:r w:rsidR="00BE33AE">
        <w:t>H</w:t>
      </w:r>
      <w:r w:rsidR="00C05445">
        <w:t>oM 2</w:t>
      </w:r>
      <w:r w:rsidR="00BE33AE">
        <w:t xml:space="preserve"> Exhibit 138</w:t>
      </w:r>
      <w:r w:rsidR="00C05445">
        <w:t>.</w:t>
      </w:r>
    </w:p>
  </w:footnote>
  <w:footnote w:id="20">
    <w:p w14:paraId="28B6789A" w14:textId="77777777" w:rsidR="008733C7" w:rsidRDefault="008733C7" w:rsidP="00EA3499">
      <w:pPr>
        <w:pStyle w:val="FootnoteText"/>
        <w:spacing w:after="120"/>
        <w:ind w:firstLine="720"/>
      </w:pPr>
      <w:r>
        <w:rPr>
          <w:rStyle w:val="FootnoteReference"/>
        </w:rPr>
        <w:footnoteRef/>
      </w:r>
      <w:r>
        <w:t xml:space="preserve">  WOWSC Ex. 7 </w:t>
      </w:r>
      <w:r w:rsidR="0025506D">
        <w:t xml:space="preserve">(Nelson Dir.) </w:t>
      </w:r>
      <w:r>
        <w:t>at 7-8</w:t>
      </w:r>
      <w:r w:rsidR="0025506D">
        <w:t>.</w:t>
      </w:r>
    </w:p>
  </w:footnote>
  <w:footnote w:id="21">
    <w:p w14:paraId="7B3D8435" w14:textId="77777777" w:rsidR="00906745" w:rsidRDefault="00906745" w:rsidP="00EA3499">
      <w:pPr>
        <w:pStyle w:val="FootnoteText"/>
        <w:spacing w:after="120"/>
        <w:ind w:firstLine="720"/>
      </w:pPr>
      <w:r>
        <w:rPr>
          <w:rStyle w:val="FootnoteReference"/>
        </w:rPr>
        <w:footnoteRef/>
      </w:r>
      <w:r>
        <w:t xml:space="preserve">  Staff </w:t>
      </w:r>
      <w:r>
        <w:t>HoM 2 Ex. 48</w:t>
      </w:r>
      <w:r w:rsidR="00067566">
        <w:t>.</w:t>
      </w:r>
    </w:p>
  </w:footnote>
  <w:footnote w:id="22">
    <w:p w14:paraId="0205E469" w14:textId="77777777" w:rsidR="00E042B3" w:rsidRDefault="00E042B3" w:rsidP="00EA3499">
      <w:pPr>
        <w:pStyle w:val="FootnoteText"/>
        <w:spacing w:after="120"/>
        <w:ind w:firstLine="720"/>
      </w:pPr>
      <w:r>
        <w:rPr>
          <w:rStyle w:val="FootnoteReference"/>
        </w:rPr>
        <w:footnoteRef/>
      </w:r>
      <w:r>
        <w:t xml:space="preserve">  WOWSC Ex. 3 (Gimenez Reb.) at Attachment JG-34.</w:t>
      </w:r>
    </w:p>
  </w:footnote>
  <w:footnote w:id="23">
    <w:p w14:paraId="370915CE" w14:textId="3011D307" w:rsidR="00E63A98" w:rsidRDefault="00E63A98" w:rsidP="00EA3499">
      <w:pPr>
        <w:pStyle w:val="FootnoteText"/>
        <w:spacing w:after="120"/>
        <w:ind w:firstLine="720"/>
      </w:pPr>
      <w:r>
        <w:rPr>
          <w:rStyle w:val="FootnoteReference"/>
        </w:rPr>
        <w:footnoteRef/>
      </w:r>
      <w:r>
        <w:t xml:space="preserve"> </w:t>
      </w:r>
      <w:r w:rsidR="00EE10F2">
        <w:t>WOWSC Ex. 3 (Gimenez Reb.)</w:t>
      </w:r>
      <w:r w:rsidR="009E120A">
        <w:t>,</w:t>
      </w:r>
      <w:r w:rsidR="00EE10F2">
        <w:t xml:space="preserve"> Attachment JG-21 </w:t>
      </w:r>
      <w:r w:rsidR="009E120A">
        <w:t>at</w:t>
      </w:r>
      <w:r w:rsidR="00EE10F2">
        <w:t xml:space="preserve"> 11</w:t>
      </w:r>
      <w:r w:rsidR="009E120A">
        <w:t>.</w:t>
      </w:r>
    </w:p>
  </w:footnote>
  <w:footnote w:id="24">
    <w:p w14:paraId="133278AB" w14:textId="2E90A558" w:rsidR="008C05D3" w:rsidRPr="008C05D3" w:rsidRDefault="008C05D3" w:rsidP="00EA3499">
      <w:pPr>
        <w:pStyle w:val="FootnoteText"/>
        <w:spacing w:after="120"/>
        <w:ind w:firstLine="720"/>
      </w:pPr>
      <w:r>
        <w:rPr>
          <w:rStyle w:val="FootnoteReference"/>
        </w:rPr>
        <w:footnoteRef/>
      </w:r>
      <w:r>
        <w:t xml:space="preserve">  </w:t>
      </w:r>
      <w:r>
        <w:rPr>
          <w:i/>
          <w:iCs/>
        </w:rPr>
        <w:t>Id.</w:t>
      </w:r>
      <w:r>
        <w:t xml:space="preserve"> at JG-28 at </w:t>
      </w:r>
      <w:r w:rsidR="00293EDC">
        <w:t>4</w:t>
      </w:r>
      <w:r w:rsidR="009C4DBD">
        <w:t>.</w:t>
      </w:r>
    </w:p>
  </w:footnote>
  <w:footnote w:id="25">
    <w:p w14:paraId="43EC994C" w14:textId="69BA1696" w:rsidR="009C4DBD" w:rsidRDefault="009C4DBD" w:rsidP="00EA3499">
      <w:pPr>
        <w:pStyle w:val="FootnoteText"/>
        <w:spacing w:after="120"/>
        <w:ind w:firstLine="720"/>
      </w:pPr>
      <w:r>
        <w:rPr>
          <w:rStyle w:val="FootnoteReference"/>
        </w:rPr>
        <w:footnoteRef/>
      </w:r>
      <w:r>
        <w:t xml:space="preserve">  </w:t>
      </w:r>
      <w:r>
        <w:rPr>
          <w:i/>
          <w:iCs/>
        </w:rPr>
        <w:t xml:space="preserve">Id. </w:t>
      </w:r>
      <w:r>
        <w:t>at JG-23.</w:t>
      </w:r>
    </w:p>
  </w:footnote>
  <w:footnote w:id="26">
    <w:p w14:paraId="37184D10" w14:textId="77777777" w:rsidR="00BA549E" w:rsidRDefault="00BA549E" w:rsidP="00EA3499">
      <w:pPr>
        <w:pStyle w:val="FootnoteText"/>
        <w:spacing w:after="120"/>
        <w:ind w:firstLine="720"/>
      </w:pPr>
      <w:r>
        <w:rPr>
          <w:rStyle w:val="FootnoteReference"/>
        </w:rPr>
        <w:footnoteRef/>
      </w:r>
      <w:r>
        <w:t xml:space="preserve">  WOWSC Membership Announcement</w:t>
      </w:r>
      <w:r w:rsidR="00793DDC">
        <w:t>,</w:t>
      </w:r>
      <w:r>
        <w:t xml:space="preserve"> Jul</w:t>
      </w:r>
      <w:r w:rsidR="00793DDC">
        <w:t>.</w:t>
      </w:r>
      <w:r>
        <w:t xml:space="preserve"> 24, 2023</w:t>
      </w:r>
      <w:r w:rsidR="00793DDC">
        <w:t xml:space="preserve">, </w:t>
      </w:r>
      <w:r w:rsidR="00793DDC" w:rsidRPr="00570EE5">
        <w:t>https://www.wowsc.org/news-detail?item_id=28938</w:t>
      </w:r>
      <w:r w:rsidR="00793DDC">
        <w:t xml:space="preserve"> (last viewed Jul. 28, 2023).</w:t>
      </w:r>
    </w:p>
  </w:footnote>
  <w:footnote w:id="27">
    <w:p w14:paraId="3A512C24" w14:textId="77777777" w:rsidR="00C41B68" w:rsidRDefault="00C41B68" w:rsidP="00EA3499">
      <w:pPr>
        <w:pStyle w:val="FootnoteText"/>
        <w:spacing w:after="120"/>
        <w:ind w:firstLine="720"/>
      </w:pPr>
      <w:r>
        <w:rPr>
          <w:rStyle w:val="FootnoteReference"/>
        </w:rPr>
        <w:footnoteRef/>
      </w:r>
      <w:r>
        <w:t xml:space="preserve">  </w:t>
      </w:r>
      <w:r w:rsidRPr="004E60D8">
        <w:t>Affidavit of Jamie L. Mauldin Related to the Rate Case Expenses of Windermere Oaks Water Supply Corporation</w:t>
      </w:r>
      <w:r>
        <w:t xml:space="preserve"> at 5</w:t>
      </w:r>
      <w:r w:rsidR="0077201B">
        <w:t>.</w:t>
      </w:r>
    </w:p>
  </w:footnote>
  <w:footnote w:id="28">
    <w:p w14:paraId="57173CF0" w14:textId="77777777" w:rsidR="009C0D02" w:rsidRPr="009C0D02" w:rsidRDefault="009C0D02" w:rsidP="00EA3499">
      <w:pPr>
        <w:pStyle w:val="FootnoteText"/>
        <w:spacing w:after="120"/>
        <w:ind w:firstLine="720"/>
      </w:pPr>
      <w:r>
        <w:rPr>
          <w:rStyle w:val="FootnoteReference"/>
        </w:rPr>
        <w:footnoteRef/>
      </w:r>
      <w:r>
        <w:t xml:space="preserve">  </w:t>
      </w:r>
      <w:r>
        <w:rPr>
          <w:i/>
          <w:iCs/>
        </w:rPr>
        <w:t>See</w:t>
      </w:r>
      <w:r>
        <w:t xml:space="preserve"> WOWSC Ex. 8 at 7; WOWSC Ex. 8 at MN-6. </w:t>
      </w:r>
      <w:r w:rsidR="00A07635">
        <w:t xml:space="preserve">For a precise </w:t>
      </w:r>
      <w:r w:rsidR="00521292">
        <w:t>calculation</w:t>
      </w:r>
      <w:r w:rsidR="00A07635">
        <w:t xml:space="preserve"> of the revenue that Windermere’s rates could have been expected to generate, see Staff’s Initial Brief at </w:t>
      </w:r>
      <w:r w:rsidR="00416E6E">
        <w:t xml:space="preserve">6, showing that Windermere would actually recover approximately </w:t>
      </w:r>
      <w:r w:rsidR="00521292">
        <w:t>$597,000, not $576,192.</w:t>
      </w:r>
    </w:p>
  </w:footnote>
  <w:footnote w:id="29">
    <w:p w14:paraId="65845C53" w14:textId="0D367C7C" w:rsidR="00B368B9" w:rsidRDefault="00B368B9" w:rsidP="00EA3499">
      <w:pPr>
        <w:pStyle w:val="FootnoteText"/>
        <w:spacing w:after="120"/>
        <w:ind w:firstLine="720"/>
      </w:pPr>
      <w:r>
        <w:rPr>
          <w:rStyle w:val="FootnoteReference"/>
        </w:rPr>
        <w:footnoteRef/>
      </w:r>
      <w:r>
        <w:t xml:space="preserve"> </w:t>
      </w:r>
      <w:r w:rsidR="003F3452">
        <w:t xml:space="preserve"> </w:t>
      </w:r>
      <w:r w:rsidR="00A11A54">
        <w:t>HoM Tr. Day 1 at 199 (Nelson Cross) (Dec. 1, 2021).</w:t>
      </w:r>
    </w:p>
  </w:footnote>
  <w:footnote w:id="30">
    <w:p w14:paraId="092F8069" w14:textId="69FA80FE" w:rsidR="006B421B" w:rsidRDefault="006B421B" w:rsidP="00EA3499">
      <w:pPr>
        <w:pStyle w:val="FootnoteText"/>
        <w:spacing w:after="120"/>
        <w:ind w:firstLine="720"/>
      </w:pPr>
      <w:r>
        <w:rPr>
          <w:rStyle w:val="FootnoteReference"/>
        </w:rPr>
        <w:footnoteRef/>
      </w:r>
      <w:r>
        <w:t xml:space="preserve">  Windermere Oaks Water Supply Corporation’s Response to Ratepayers Motion to Compel at 2 (May 20, 2021).</w:t>
      </w:r>
    </w:p>
  </w:footnote>
  <w:footnote w:id="31">
    <w:p w14:paraId="3189B78D" w14:textId="09CBE0FE" w:rsidR="00B575EE" w:rsidRDefault="00B575EE" w:rsidP="00EA3499">
      <w:pPr>
        <w:pStyle w:val="FootnoteText"/>
        <w:spacing w:after="120"/>
        <w:ind w:firstLine="720"/>
      </w:pPr>
      <w:r>
        <w:rPr>
          <w:rStyle w:val="FootnoteReference"/>
        </w:rPr>
        <w:footnoteRef/>
      </w:r>
      <w:r>
        <w:t xml:space="preserve">  Staff </w:t>
      </w:r>
      <w:r>
        <w:t>HoM 2 Ex. 24</w:t>
      </w:r>
      <w:r w:rsidR="00CA0326">
        <w:t xml:space="preserve">; Staff HoM 2 Ex. 3 (stating that Windermere’s rates </w:t>
      </w:r>
      <w:r w:rsidR="00DD57DD">
        <w:t>were set to recover a $174,515 shortfall in the 2020 budget</w:t>
      </w:r>
      <w:r>
        <w:t>.</w:t>
      </w:r>
    </w:p>
  </w:footnote>
  <w:footnote w:id="32">
    <w:p w14:paraId="2D27482E" w14:textId="462B9BD8" w:rsidR="005B30B5" w:rsidRDefault="005B30B5" w:rsidP="00EA3499">
      <w:pPr>
        <w:pStyle w:val="FootnoteText"/>
        <w:spacing w:after="120"/>
        <w:ind w:firstLine="720"/>
      </w:pPr>
      <w:r>
        <w:rPr>
          <w:rStyle w:val="FootnoteReference"/>
        </w:rPr>
        <w:footnoteRef/>
      </w:r>
      <w:r>
        <w:t xml:space="preserve">  Staff </w:t>
      </w:r>
      <w:r>
        <w:t>HoM Ex. 3.</w:t>
      </w:r>
    </w:p>
  </w:footnote>
  <w:footnote w:id="33">
    <w:p w14:paraId="0B537970" w14:textId="77777777" w:rsidR="00611F34" w:rsidRDefault="00611F34" w:rsidP="00EA3499">
      <w:pPr>
        <w:pStyle w:val="FootnoteText"/>
        <w:spacing w:after="120"/>
        <w:ind w:firstLine="720"/>
      </w:pPr>
      <w:r>
        <w:rPr>
          <w:rStyle w:val="FootnoteReference"/>
        </w:rPr>
        <w:footnoteRef/>
      </w:r>
      <w:r>
        <w:t xml:space="preserve">  Staff </w:t>
      </w:r>
      <w:r>
        <w:t>HoM 2 Ex. 41.</w:t>
      </w:r>
    </w:p>
  </w:footnote>
  <w:footnote w:id="34">
    <w:p w14:paraId="1C666FAB" w14:textId="77777777" w:rsidR="00CC2C6B" w:rsidRPr="00CC2C6B" w:rsidRDefault="00CC2C6B" w:rsidP="00EA3499">
      <w:pPr>
        <w:pStyle w:val="FootnoteText"/>
        <w:spacing w:after="120"/>
        <w:ind w:firstLine="720"/>
      </w:pPr>
      <w:r>
        <w:rPr>
          <w:rStyle w:val="FootnoteReference"/>
        </w:rPr>
        <w:footnoteRef/>
      </w:r>
      <w:r>
        <w:t xml:space="preserve">  </w:t>
      </w:r>
      <w:r>
        <w:rPr>
          <w:i/>
          <w:iCs/>
        </w:rPr>
        <w:t>See</w:t>
      </w:r>
      <w:r>
        <w:t xml:space="preserve"> Attachment B, Windermere Expense Comparison.</w:t>
      </w:r>
    </w:p>
  </w:footnote>
  <w:footnote w:id="35">
    <w:p w14:paraId="20D6AC85" w14:textId="77777777" w:rsidR="00240ACF" w:rsidRPr="00240ACF" w:rsidRDefault="00240ACF" w:rsidP="00EA3499">
      <w:pPr>
        <w:pStyle w:val="FootnoteText"/>
        <w:spacing w:after="120"/>
        <w:ind w:firstLine="720"/>
      </w:pPr>
      <w:r>
        <w:rPr>
          <w:rStyle w:val="FootnoteReference"/>
        </w:rPr>
        <w:footnoteRef/>
      </w:r>
      <w:r>
        <w:t xml:space="preserve">  </w:t>
      </w:r>
      <w:r>
        <w:rPr>
          <w:i/>
          <w:iCs/>
        </w:rPr>
        <w:t>See</w:t>
      </w:r>
      <w:r>
        <w:t xml:space="preserve"> Attachment A, Windermere Income Comparison. </w:t>
      </w:r>
    </w:p>
  </w:footnote>
  <w:footnote w:id="36">
    <w:p w14:paraId="66A52309" w14:textId="77777777" w:rsidR="00212B72" w:rsidRPr="00CB2974" w:rsidRDefault="00212B72" w:rsidP="00EA3499">
      <w:pPr>
        <w:pStyle w:val="FootnoteText"/>
        <w:spacing w:after="120"/>
        <w:ind w:firstLine="720"/>
      </w:pPr>
      <w:r>
        <w:rPr>
          <w:rStyle w:val="FootnoteReference"/>
        </w:rPr>
        <w:footnoteRef/>
      </w:r>
      <w:r>
        <w:t xml:space="preserve">  </w:t>
      </w:r>
      <w:r w:rsidR="00CB2974">
        <w:rPr>
          <w:i/>
          <w:iCs/>
        </w:rPr>
        <w:t>See</w:t>
      </w:r>
      <w:r w:rsidR="00CB2974">
        <w:t xml:space="preserve"> Attachment B, Windermere Expense Comparison.</w:t>
      </w:r>
    </w:p>
  </w:footnote>
  <w:footnote w:id="37">
    <w:p w14:paraId="683DFD5D" w14:textId="77777777" w:rsidR="00E364A2" w:rsidRPr="00E364A2" w:rsidRDefault="00E364A2" w:rsidP="00EA3499">
      <w:pPr>
        <w:pStyle w:val="FootnoteText"/>
        <w:spacing w:after="120"/>
        <w:ind w:firstLine="720"/>
      </w:pPr>
      <w:r>
        <w:rPr>
          <w:rStyle w:val="FootnoteReference"/>
        </w:rPr>
        <w:footnoteRef/>
      </w:r>
      <w:r>
        <w:t xml:space="preserve">  </w:t>
      </w:r>
      <w:r>
        <w:rPr>
          <w:i/>
          <w:iCs/>
        </w:rPr>
        <w:t xml:space="preserve">See </w:t>
      </w:r>
      <w:r>
        <w:t xml:space="preserve">Staff </w:t>
      </w:r>
      <w:r>
        <w:t>HoM 2 Exhibit 41 (WOWSC’s 2020 Budget).</w:t>
      </w:r>
    </w:p>
  </w:footnote>
  <w:footnote w:id="38">
    <w:p w14:paraId="1CB097D2" w14:textId="77777777" w:rsidR="008C2D15" w:rsidRDefault="008C2D15" w:rsidP="00EA3499">
      <w:pPr>
        <w:pStyle w:val="FootnoteText"/>
        <w:spacing w:after="120"/>
        <w:ind w:firstLine="720"/>
      </w:pPr>
      <w:r>
        <w:rPr>
          <w:rStyle w:val="FootnoteReference"/>
        </w:rPr>
        <w:footnoteRef/>
      </w:r>
      <w:r>
        <w:t xml:space="preserve">  Staff </w:t>
      </w:r>
      <w:r>
        <w:t>HoM 2 Ex. 9.</w:t>
      </w:r>
    </w:p>
  </w:footnote>
  <w:footnote w:id="39">
    <w:p w14:paraId="3DBD01AC" w14:textId="77777777" w:rsidR="008C2D15" w:rsidRDefault="008C2D15" w:rsidP="00EA3499">
      <w:pPr>
        <w:pStyle w:val="FootnoteText"/>
        <w:spacing w:after="120"/>
        <w:ind w:firstLine="720"/>
      </w:pPr>
      <w:r>
        <w:rPr>
          <w:rStyle w:val="FootnoteReference"/>
        </w:rPr>
        <w:footnoteRef/>
      </w:r>
      <w:r>
        <w:t xml:space="preserve">  Staff </w:t>
      </w:r>
      <w:r>
        <w:t>HoM 2 Ex. 41.</w:t>
      </w:r>
    </w:p>
  </w:footnote>
  <w:footnote w:id="40">
    <w:p w14:paraId="2D2DC49C" w14:textId="77777777" w:rsidR="00FA6EEE" w:rsidRDefault="00FA6EEE" w:rsidP="00EA3499">
      <w:pPr>
        <w:pStyle w:val="FootnoteText"/>
        <w:spacing w:after="120"/>
        <w:ind w:firstLine="720"/>
      </w:pPr>
      <w:r>
        <w:rPr>
          <w:rStyle w:val="FootnoteReference"/>
        </w:rPr>
        <w:footnoteRef/>
      </w:r>
      <w:r>
        <w:t xml:space="preserve">  ($90.39 * 271*12)+($66.41*245*12)=$489,193.</w:t>
      </w:r>
    </w:p>
  </w:footnote>
  <w:footnote w:id="41">
    <w:p w14:paraId="4FDC56C2" w14:textId="77777777" w:rsidR="00FA6EEE" w:rsidRDefault="00FA6EEE" w:rsidP="00EA3499">
      <w:pPr>
        <w:pStyle w:val="FootnoteText"/>
        <w:spacing w:after="120"/>
        <w:ind w:firstLine="720"/>
      </w:pPr>
      <w:r>
        <w:rPr>
          <w:rStyle w:val="FootnoteReference"/>
        </w:rPr>
        <w:footnoteRef/>
      </w:r>
      <w:r>
        <w:t xml:space="preserve">  WOWSC Ex. 8 at MN-6.</w:t>
      </w:r>
    </w:p>
  </w:footnote>
  <w:footnote w:id="42">
    <w:p w14:paraId="52F93242" w14:textId="77777777" w:rsidR="00AB40A3" w:rsidRPr="00AB40A3" w:rsidRDefault="00AB40A3" w:rsidP="00EA3499">
      <w:pPr>
        <w:pStyle w:val="FootnoteText"/>
        <w:spacing w:after="120"/>
        <w:ind w:firstLine="720"/>
      </w:pPr>
      <w:r>
        <w:rPr>
          <w:rStyle w:val="FootnoteReference"/>
        </w:rPr>
        <w:footnoteRef/>
      </w:r>
      <w:r>
        <w:t xml:space="preserve">  </w:t>
      </w:r>
      <w:r>
        <w:rPr>
          <w:i/>
          <w:iCs/>
        </w:rPr>
        <w:t xml:space="preserve">See </w:t>
      </w:r>
      <w:r>
        <w:t xml:space="preserve">Attachment </w:t>
      </w:r>
      <w:r w:rsidR="00214438">
        <w:t>B, Windermere Expense Comparison.</w:t>
      </w:r>
    </w:p>
  </w:footnote>
  <w:footnote w:id="43">
    <w:p w14:paraId="2F18D34A" w14:textId="3ACD894F" w:rsidR="0071161D" w:rsidRDefault="0071161D" w:rsidP="00EA3499">
      <w:pPr>
        <w:pStyle w:val="FootnoteText"/>
        <w:spacing w:after="120"/>
        <w:ind w:firstLine="720"/>
      </w:pPr>
      <w:r>
        <w:rPr>
          <w:rStyle w:val="FootnoteReference"/>
        </w:rPr>
        <w:footnoteRef/>
      </w:r>
      <w:r>
        <w:t xml:space="preserve">  PFD at 10.</w:t>
      </w:r>
    </w:p>
  </w:footnote>
  <w:footnote w:id="44">
    <w:p w14:paraId="3D09E964" w14:textId="77777777" w:rsidR="00C9328B" w:rsidRPr="00C9328B" w:rsidRDefault="00C9328B" w:rsidP="00EA3499">
      <w:pPr>
        <w:pStyle w:val="FootnoteText"/>
        <w:spacing w:after="120"/>
        <w:ind w:firstLine="720"/>
      </w:pPr>
      <w:r>
        <w:rPr>
          <w:rStyle w:val="FootnoteReference"/>
        </w:rPr>
        <w:footnoteRef/>
      </w:r>
      <w:r>
        <w:t xml:space="preserve">  </w:t>
      </w:r>
      <w:r>
        <w:rPr>
          <w:i/>
          <w:iCs/>
        </w:rPr>
        <w:t>See</w:t>
      </w:r>
      <w:r>
        <w:t xml:space="preserve"> Staff </w:t>
      </w:r>
      <w:r>
        <w:t xml:space="preserve">HoM 2 Ex. </w:t>
      </w:r>
      <w:r w:rsidR="00B84D4F">
        <w:t>48; Ratepayers Ex. 36.</w:t>
      </w:r>
    </w:p>
  </w:footnote>
  <w:footnote w:id="45">
    <w:p w14:paraId="404B6BE2" w14:textId="77777777" w:rsidR="00570EE5" w:rsidRDefault="00570EE5" w:rsidP="00EA3499">
      <w:pPr>
        <w:pStyle w:val="FootnoteText"/>
        <w:spacing w:after="120"/>
        <w:ind w:firstLine="720"/>
      </w:pPr>
      <w:r>
        <w:rPr>
          <w:rStyle w:val="FootnoteReference"/>
        </w:rPr>
        <w:footnoteRef/>
      </w:r>
      <w:r>
        <w:t xml:space="preserve">  Staff Ex. 4 (Gilford Dr.) at MG-9. </w:t>
      </w:r>
    </w:p>
  </w:footnote>
  <w:footnote w:id="46">
    <w:p w14:paraId="777F4870" w14:textId="77777777" w:rsidR="00453AF3" w:rsidRDefault="00453AF3" w:rsidP="00EA3499">
      <w:pPr>
        <w:pStyle w:val="FootnoteText"/>
        <w:spacing w:after="120"/>
        <w:ind w:firstLine="720"/>
      </w:pPr>
      <w:r>
        <w:rPr>
          <w:rStyle w:val="FootnoteReference"/>
        </w:rPr>
        <w:footnoteRef/>
      </w:r>
      <w:r>
        <w:t xml:space="preserve">  WOWSC Ex. 2 (Gimenez Dir.) at 14; WOWSC Ex. 3 (Gimenez Reb.) at 25-26.</w:t>
      </w:r>
    </w:p>
  </w:footnote>
  <w:footnote w:id="47">
    <w:p w14:paraId="690AE2A7" w14:textId="77777777" w:rsidR="00453AF3" w:rsidRDefault="00453AF3" w:rsidP="00EA3499">
      <w:pPr>
        <w:pStyle w:val="FootnoteText"/>
        <w:spacing w:after="120"/>
        <w:ind w:firstLine="720"/>
      </w:pPr>
      <w:r>
        <w:rPr>
          <w:rStyle w:val="FootnoteReference"/>
        </w:rPr>
        <w:footnoteRef/>
      </w:r>
      <w:r>
        <w:t xml:space="preserve">  Staff Ex. 4 (Gilford Dr.) at MG-9. </w:t>
      </w:r>
    </w:p>
  </w:footnote>
  <w:footnote w:id="48">
    <w:p w14:paraId="7FC91301" w14:textId="2EB63EF0" w:rsidR="00F560CF" w:rsidRDefault="00F560CF" w:rsidP="00EA3499">
      <w:pPr>
        <w:pStyle w:val="FootnoteText"/>
        <w:spacing w:after="120"/>
        <w:ind w:firstLine="720"/>
      </w:pPr>
      <w:r>
        <w:rPr>
          <w:rStyle w:val="FootnoteReference"/>
        </w:rPr>
        <w:footnoteRef/>
      </w:r>
      <w:r>
        <w:t xml:space="preserve">  </w:t>
      </w:r>
      <w:r w:rsidR="00725638">
        <w:t xml:space="preserve">PFD at 31 </w:t>
      </w:r>
      <w:r w:rsidR="00681C6A">
        <w:t>(</w:t>
      </w:r>
      <w:r w:rsidR="00725638">
        <w:t>citing</w:t>
      </w:r>
      <w:r w:rsidR="006448A1" w:rsidRPr="006448A1">
        <w:t xml:space="preserve"> </w:t>
      </w:r>
      <w:r w:rsidR="006448A1" w:rsidRPr="00F15CC9">
        <w:rPr>
          <w:i/>
          <w:iCs/>
        </w:rPr>
        <w:t>Petition of Paloma Lake Municipal Utility District No. 1, et al. Appealing the Ratemaking Actions of the City of Round Rock in Travis and Williamson Counties</w:t>
      </w:r>
      <w:r w:rsidR="006448A1" w:rsidRPr="006448A1">
        <w:t>, Docket No. 48836, Order on Appeal of SOAH Order No. 17 at 3 (Apr. 29, 2022)</w:t>
      </w:r>
      <w:r w:rsidR="00681C6A">
        <w:t>)</w:t>
      </w:r>
      <w:r w:rsidR="006448A1" w:rsidRPr="006448A1">
        <w:t>.</w:t>
      </w:r>
    </w:p>
  </w:footnote>
  <w:footnote w:id="49">
    <w:p w14:paraId="701E4A5A" w14:textId="3DCC13BB" w:rsidR="00C02C54" w:rsidRDefault="00C02C54" w:rsidP="00EA3499">
      <w:pPr>
        <w:pStyle w:val="FootnoteText"/>
        <w:spacing w:after="120"/>
        <w:ind w:firstLine="720"/>
      </w:pPr>
      <w:r>
        <w:rPr>
          <w:rStyle w:val="FootnoteReference"/>
        </w:rPr>
        <w:footnoteRef/>
      </w:r>
      <w:r>
        <w:t xml:space="preserve">  </w:t>
      </w:r>
      <w:r w:rsidR="008D6D92">
        <w:t xml:space="preserve">HoM 2 Tr. at 781 (Gimenez Cross) (Mar. 22, 2023); Staff Ex. </w:t>
      </w:r>
      <w:r w:rsidR="006D22F4">
        <w:t>4 (Gilford Dir.), Attachment MG-6.</w:t>
      </w:r>
    </w:p>
  </w:footnote>
  <w:footnote w:id="50">
    <w:p w14:paraId="122F6FB7" w14:textId="5C845CB3" w:rsidR="00681C6A" w:rsidRDefault="00681C6A" w:rsidP="00EA3499">
      <w:pPr>
        <w:pStyle w:val="FootnoteText"/>
        <w:spacing w:after="120"/>
        <w:ind w:firstLine="720"/>
      </w:pPr>
      <w:r>
        <w:rPr>
          <w:rStyle w:val="FootnoteReference"/>
        </w:rPr>
        <w:footnoteRef/>
      </w:r>
      <w:r>
        <w:t xml:space="preserve">  </w:t>
      </w:r>
      <w:r w:rsidRPr="00F15CC9">
        <w:rPr>
          <w:i/>
          <w:iCs/>
        </w:rPr>
        <w:t>Petition of Paloma Lake Municipal Utility District No. 1, et al. Appealing the Ratemaking Actions of the City of Round Rock in Travis and Williamson Counties</w:t>
      </w:r>
      <w:r w:rsidRPr="006448A1">
        <w:t xml:space="preserve">, Docket No. 48836, Order on Appeal of SOAH Order No. 17 at </w:t>
      </w:r>
      <w:r>
        <w:t>4</w:t>
      </w:r>
      <w:r w:rsidRPr="006448A1">
        <w:t xml:space="preserve"> (Apr. 29, 2022 ).</w:t>
      </w:r>
    </w:p>
  </w:footnote>
  <w:footnote w:id="51">
    <w:p w14:paraId="00BD8D83" w14:textId="4374EDFC" w:rsidR="005833A4" w:rsidRPr="005833A4" w:rsidRDefault="005833A4" w:rsidP="00EA3499">
      <w:pPr>
        <w:pStyle w:val="FootnoteText"/>
        <w:spacing w:after="120"/>
        <w:ind w:firstLine="720"/>
      </w:pPr>
      <w:r>
        <w:rPr>
          <w:rStyle w:val="FootnoteReference"/>
        </w:rPr>
        <w:footnoteRef/>
      </w:r>
      <w:r>
        <w:t xml:space="preserve">  </w:t>
      </w:r>
      <w:r>
        <w:rPr>
          <w:i/>
          <w:iCs/>
        </w:rPr>
        <w:t>Id.</w:t>
      </w:r>
      <w:r>
        <w:t xml:space="preserve"> </w:t>
      </w:r>
      <w:r w:rsidR="00EC3A0E">
        <w:t>at 3.</w:t>
      </w:r>
    </w:p>
  </w:footnote>
  <w:footnote w:id="52">
    <w:p w14:paraId="5A594FBA" w14:textId="4DE86C59" w:rsidR="00F7487C" w:rsidRPr="00DE410F" w:rsidRDefault="00F7487C" w:rsidP="00EA3499">
      <w:pPr>
        <w:pStyle w:val="FootnoteText"/>
        <w:spacing w:after="120"/>
        <w:ind w:firstLine="720"/>
      </w:pPr>
      <w:r>
        <w:rPr>
          <w:rStyle w:val="FootnoteReference"/>
        </w:rPr>
        <w:footnoteRef/>
      </w:r>
      <w:r>
        <w:t xml:space="preserve">  </w:t>
      </w:r>
      <w:r>
        <w:rPr>
          <w:i/>
          <w:iCs/>
        </w:rPr>
        <w:t>Application of North San Saba Water Supply C</w:t>
      </w:r>
      <w:r w:rsidR="00E96EF4">
        <w:rPr>
          <w:i/>
          <w:iCs/>
        </w:rPr>
        <w:t>orp</w:t>
      </w:r>
      <w:r w:rsidR="00DE410F">
        <w:rPr>
          <w:i/>
          <w:iCs/>
        </w:rPr>
        <w:t>. to Change its Water Rates Under Certificate of Convenience and Necessity No. 11227 in San Saba County</w:t>
      </w:r>
      <w:r w:rsidR="00DE410F">
        <w:t>, Docket No. 43771</w:t>
      </w:r>
      <w:r w:rsidR="004E43DF">
        <w:t>, Decision of the Commission on Petition</w:t>
      </w:r>
      <w:r w:rsidR="00DE410F">
        <w:t xml:space="preserve"> (</w:t>
      </w:r>
      <w:r w:rsidR="00B93A3D">
        <w:t>Jun. 7, 2010).</w:t>
      </w:r>
    </w:p>
  </w:footnote>
  <w:footnote w:id="53">
    <w:p w14:paraId="355CF004" w14:textId="736674BD" w:rsidR="00F61DBF" w:rsidRPr="00F61DBF" w:rsidRDefault="00F61DBF" w:rsidP="00EA3499">
      <w:pPr>
        <w:pStyle w:val="FootnoteText"/>
        <w:spacing w:after="120"/>
        <w:ind w:firstLine="720"/>
      </w:pPr>
      <w:r>
        <w:rPr>
          <w:rStyle w:val="FootnoteReference"/>
        </w:rPr>
        <w:footnoteRef/>
      </w:r>
      <w:r>
        <w:t xml:space="preserve">  </w:t>
      </w:r>
      <w:r>
        <w:rPr>
          <w:i/>
          <w:iCs/>
        </w:rPr>
        <w:t>Id.</w:t>
      </w:r>
      <w:r>
        <w:t>, Proposal for Decision at 7.</w:t>
      </w:r>
    </w:p>
  </w:footnote>
  <w:footnote w:id="54">
    <w:p w14:paraId="13701BEA" w14:textId="34D50BD4" w:rsidR="00371ABD" w:rsidRPr="00371ABD" w:rsidRDefault="00371ABD" w:rsidP="00EA3499">
      <w:pPr>
        <w:pStyle w:val="FootnoteText"/>
        <w:spacing w:after="120"/>
        <w:ind w:firstLine="720"/>
      </w:pPr>
      <w:r>
        <w:rPr>
          <w:rStyle w:val="FootnoteReference"/>
        </w:rPr>
        <w:footnoteRef/>
      </w:r>
      <w:r>
        <w:t xml:space="preserve">  </w:t>
      </w:r>
      <w:r>
        <w:rPr>
          <w:i/>
          <w:iCs/>
        </w:rPr>
        <w:t>Id.</w:t>
      </w:r>
      <w:r>
        <w:t>, Proposal for Decision at 3.</w:t>
      </w:r>
    </w:p>
  </w:footnote>
  <w:footnote w:id="55">
    <w:p w14:paraId="744A463E" w14:textId="0852CBF3" w:rsidR="00304F2B" w:rsidRPr="003B653D" w:rsidRDefault="00304F2B" w:rsidP="00EA3499">
      <w:pPr>
        <w:pStyle w:val="FootnoteText"/>
        <w:spacing w:after="120"/>
        <w:ind w:firstLine="720"/>
      </w:pPr>
      <w:r>
        <w:rPr>
          <w:rStyle w:val="FootnoteReference"/>
        </w:rPr>
        <w:footnoteRef/>
      </w:r>
      <w:r>
        <w:t xml:space="preserve">  </w:t>
      </w:r>
      <w:r>
        <w:rPr>
          <w:i/>
          <w:iCs/>
        </w:rPr>
        <w:t>Id.</w:t>
      </w:r>
      <w:r w:rsidR="003B653D">
        <w:t xml:space="preserve"> at 7</w:t>
      </w:r>
    </w:p>
  </w:footnote>
  <w:footnote w:id="56">
    <w:p w14:paraId="1FC5806C" w14:textId="71C89009" w:rsidR="00F17B72" w:rsidRDefault="00F17B72" w:rsidP="00EA3499">
      <w:pPr>
        <w:pStyle w:val="FootnoteText"/>
        <w:spacing w:after="120"/>
        <w:ind w:firstLine="720"/>
      </w:pPr>
      <w:r>
        <w:rPr>
          <w:rStyle w:val="FootnoteReference"/>
        </w:rPr>
        <w:footnoteRef/>
      </w:r>
      <w:r>
        <w:t xml:space="preserve">  Staff </w:t>
      </w:r>
      <w:r>
        <w:t>HoM 2 Ex. 24.</w:t>
      </w:r>
    </w:p>
  </w:footnote>
  <w:footnote w:id="57">
    <w:p w14:paraId="1D925B0E" w14:textId="77777777" w:rsidR="007638C0" w:rsidRDefault="007638C0" w:rsidP="00EA3499">
      <w:pPr>
        <w:pStyle w:val="FootnoteText"/>
        <w:spacing w:after="120"/>
        <w:ind w:firstLine="720"/>
      </w:pPr>
      <w:r>
        <w:rPr>
          <w:rStyle w:val="FootnoteReference"/>
        </w:rPr>
        <w:footnoteRef/>
      </w:r>
      <w:r>
        <w:t xml:space="preserve">  WOWSC Ex. 9 (Rabon Reb.), GR-2; Ratepayers </w:t>
      </w:r>
      <w:r>
        <w:t>HoM 2 Ex. 133.</w:t>
      </w:r>
    </w:p>
  </w:footnote>
  <w:footnote w:id="58">
    <w:p w14:paraId="3C75D074" w14:textId="75F5258F" w:rsidR="007E3123" w:rsidRDefault="007E3123" w:rsidP="00EA3499">
      <w:pPr>
        <w:pStyle w:val="FootnoteText"/>
        <w:spacing w:after="120"/>
        <w:ind w:firstLine="720"/>
      </w:pPr>
      <w:r>
        <w:rPr>
          <w:rStyle w:val="FootnoteReference"/>
        </w:rPr>
        <w:footnoteRef/>
      </w:r>
      <w:r>
        <w:t xml:space="preserve">  Ratepayers </w:t>
      </w:r>
      <w:r>
        <w:t>HoM 2 Ex. 144B.</w:t>
      </w:r>
    </w:p>
  </w:footnote>
  <w:footnote w:id="59">
    <w:p w14:paraId="124F65FC" w14:textId="749F52BD" w:rsidR="00565E57" w:rsidRDefault="00565E57" w:rsidP="00EA3499">
      <w:pPr>
        <w:pStyle w:val="FootnoteText"/>
        <w:ind w:firstLine="720"/>
      </w:pPr>
      <w:r>
        <w:rPr>
          <w:rStyle w:val="FootnoteReference"/>
        </w:rPr>
        <w:footnoteRef/>
      </w:r>
      <w:r>
        <w:t xml:space="preserve">  Ratepayers </w:t>
      </w:r>
      <w:r>
        <w:t>HoM 2 Ex. 143A.</w:t>
      </w:r>
    </w:p>
  </w:footnote>
  <w:footnote w:id="60">
    <w:p w14:paraId="3DC072C0" w14:textId="25A6BCC4" w:rsidR="00C577BF" w:rsidRDefault="00C577BF" w:rsidP="00C35440">
      <w:pPr>
        <w:pStyle w:val="FootnoteText"/>
        <w:spacing w:after="120"/>
        <w:ind w:firstLine="720"/>
      </w:pPr>
      <w:r>
        <w:rPr>
          <w:rStyle w:val="FootnoteReference"/>
        </w:rPr>
        <w:footnoteRef/>
      </w:r>
      <w:r>
        <w:t xml:space="preserve">  PFD at 33.</w:t>
      </w:r>
    </w:p>
  </w:footnote>
  <w:footnote w:id="61">
    <w:p w14:paraId="7FEE0838" w14:textId="08A26E46" w:rsidR="00386406" w:rsidRDefault="00386406" w:rsidP="00C35440">
      <w:pPr>
        <w:pStyle w:val="FootnoteText"/>
        <w:spacing w:after="120"/>
        <w:ind w:firstLine="720"/>
      </w:pPr>
      <w:r>
        <w:rPr>
          <w:rStyle w:val="FootnoteReference"/>
        </w:rPr>
        <w:footnoteRef/>
      </w:r>
      <w:r>
        <w:t xml:space="preserve">  </w:t>
      </w:r>
      <w:r>
        <w:rPr>
          <w:i/>
          <w:iCs/>
        </w:rPr>
        <w:t>Id.</w:t>
      </w:r>
      <w:r>
        <w:t xml:space="preserve"> at 34.</w:t>
      </w:r>
    </w:p>
  </w:footnote>
  <w:footnote w:id="62">
    <w:p w14:paraId="07A1DF28" w14:textId="07ECCFC7" w:rsidR="00C31FF4" w:rsidRPr="00C31FF4" w:rsidRDefault="00C31FF4" w:rsidP="003A6401">
      <w:pPr>
        <w:pStyle w:val="FootnoteText"/>
        <w:spacing w:after="120"/>
        <w:ind w:firstLine="720"/>
        <w:rPr>
          <w:i/>
          <w:iCs/>
        </w:rPr>
      </w:pPr>
      <w:r>
        <w:rPr>
          <w:rStyle w:val="FootnoteReference"/>
        </w:rPr>
        <w:footnoteRef/>
      </w:r>
      <w:r>
        <w:t xml:space="preserve">  </w:t>
      </w:r>
      <w:r>
        <w:rPr>
          <w:i/>
          <w:iCs/>
        </w:rPr>
        <w:t>Id.</w:t>
      </w:r>
    </w:p>
  </w:footnote>
  <w:footnote w:id="63">
    <w:p w14:paraId="7B5C506A" w14:textId="1B6A4B1E" w:rsidR="00E87BD2" w:rsidRDefault="00E87BD2" w:rsidP="003A6401">
      <w:pPr>
        <w:pStyle w:val="FootnoteText"/>
        <w:spacing w:after="120"/>
        <w:ind w:firstLine="720"/>
      </w:pPr>
      <w:r>
        <w:rPr>
          <w:rStyle w:val="FootnoteReference"/>
        </w:rPr>
        <w:footnoteRef/>
      </w:r>
      <w:r>
        <w:t xml:space="preserve">  WOWSC Ex. 3 at JG-28</w:t>
      </w:r>
    </w:p>
  </w:footnote>
  <w:footnote w:id="64">
    <w:p w14:paraId="0F135A44" w14:textId="4952D130" w:rsidR="00EA6759" w:rsidRPr="00EA6759" w:rsidRDefault="00EA6759" w:rsidP="003A6401">
      <w:pPr>
        <w:pStyle w:val="FootnoteText"/>
        <w:spacing w:after="120"/>
        <w:ind w:firstLine="720"/>
      </w:pPr>
      <w:r>
        <w:rPr>
          <w:rStyle w:val="FootnoteReference"/>
        </w:rPr>
        <w:footnoteRef/>
      </w:r>
      <w:r>
        <w:t xml:space="preserve">  </w:t>
      </w:r>
      <w:r>
        <w:rPr>
          <w:i/>
          <w:iCs/>
        </w:rPr>
        <w:t>See</w:t>
      </w:r>
      <w:r>
        <w:t xml:space="preserve"> WOWSC Ex. 3 (Gimenez Reb.) at 24.</w:t>
      </w:r>
    </w:p>
  </w:footnote>
  <w:footnote w:id="65">
    <w:p w14:paraId="52849D36" w14:textId="45764B10" w:rsidR="009E4394" w:rsidRDefault="009E4394" w:rsidP="003A6401">
      <w:pPr>
        <w:pStyle w:val="FootnoteText"/>
        <w:spacing w:after="120"/>
        <w:ind w:firstLine="720"/>
      </w:pPr>
      <w:r>
        <w:rPr>
          <w:rStyle w:val="FootnoteReference"/>
        </w:rPr>
        <w:footnoteRef/>
      </w:r>
      <w:r>
        <w:t xml:space="preserve">  Staff Ex. 4 (Gilford Dir.)</w:t>
      </w:r>
      <w:r w:rsidR="00714165">
        <w:t>,</w:t>
      </w:r>
      <w:r>
        <w:t xml:space="preserve"> MG-9</w:t>
      </w:r>
      <w:r w:rsidR="00714165">
        <w:t xml:space="preserve"> at 4-5</w:t>
      </w:r>
      <w:r>
        <w:t>.</w:t>
      </w:r>
    </w:p>
  </w:footnote>
  <w:footnote w:id="66">
    <w:p w14:paraId="32F593C5" w14:textId="426D97BC" w:rsidR="00414426" w:rsidRDefault="00414426" w:rsidP="003A6401">
      <w:pPr>
        <w:pStyle w:val="FootnoteText"/>
        <w:spacing w:after="120"/>
        <w:ind w:firstLine="720"/>
      </w:pPr>
      <w:r>
        <w:rPr>
          <w:rStyle w:val="FootnoteReference"/>
        </w:rPr>
        <w:footnoteRef/>
      </w:r>
      <w:r>
        <w:t xml:space="preserve">  PFD at </w:t>
      </w:r>
      <w:r w:rsidR="00C51B16">
        <w:t>36.</w:t>
      </w:r>
    </w:p>
  </w:footnote>
  <w:footnote w:id="67">
    <w:p w14:paraId="0DFB49EF" w14:textId="67C6DCBB" w:rsidR="00704624" w:rsidRDefault="00704624" w:rsidP="003A6401">
      <w:pPr>
        <w:pStyle w:val="FootnoteText"/>
        <w:spacing w:after="120"/>
        <w:ind w:firstLine="720"/>
      </w:pPr>
      <w:r>
        <w:rPr>
          <w:rStyle w:val="FootnoteReference"/>
        </w:rPr>
        <w:footnoteRef/>
      </w:r>
      <w:r>
        <w:t xml:space="preserve">  Attachment A.</w:t>
      </w:r>
    </w:p>
  </w:footnote>
  <w:footnote w:id="68">
    <w:p w14:paraId="07F359D4" w14:textId="02B991D5" w:rsidR="0020264C" w:rsidRDefault="0020264C" w:rsidP="003A6401">
      <w:pPr>
        <w:pStyle w:val="FootnoteText"/>
        <w:spacing w:after="120"/>
        <w:ind w:firstLine="720"/>
      </w:pPr>
      <w:r>
        <w:rPr>
          <w:rStyle w:val="FootnoteReference"/>
        </w:rPr>
        <w:footnoteRef/>
      </w:r>
      <w:r>
        <w:t xml:space="preserve">  Staff </w:t>
      </w:r>
      <w:r>
        <w:t>HoM 2 Ex. 48.</w:t>
      </w:r>
    </w:p>
  </w:footnote>
  <w:footnote w:id="69">
    <w:p w14:paraId="029FF4A6" w14:textId="3126CE63" w:rsidR="00F5418A" w:rsidRDefault="00F5418A" w:rsidP="003A6401">
      <w:pPr>
        <w:pStyle w:val="FootnoteText"/>
        <w:spacing w:after="120"/>
        <w:ind w:firstLine="720"/>
      </w:pPr>
      <w:r>
        <w:rPr>
          <w:rStyle w:val="FootnoteReference"/>
        </w:rPr>
        <w:footnoteRef/>
      </w:r>
      <w:r>
        <w:t xml:space="preserve">  WOWSC Ex. 26 (Gimenez Supp. Reb.) at 6.</w:t>
      </w:r>
    </w:p>
  </w:footnote>
  <w:footnote w:id="70">
    <w:p w14:paraId="537BCA91" w14:textId="651E00CD" w:rsidR="00277F33" w:rsidRDefault="00277F33" w:rsidP="003A6401">
      <w:pPr>
        <w:pStyle w:val="FootnoteText"/>
        <w:spacing w:after="120"/>
        <w:ind w:firstLine="720"/>
      </w:pPr>
      <w:r>
        <w:rPr>
          <w:rStyle w:val="FootnoteReference"/>
        </w:rPr>
        <w:footnoteRef/>
      </w:r>
      <w:r>
        <w:t xml:space="preserve">  Staff </w:t>
      </w:r>
      <w:r>
        <w:t xml:space="preserve">HoM 2 Ex. 48. </w:t>
      </w:r>
    </w:p>
  </w:footnote>
  <w:footnote w:id="71">
    <w:p w14:paraId="60A9EAB4" w14:textId="48906A6A" w:rsidR="00306752" w:rsidRDefault="00306752" w:rsidP="003A6401">
      <w:pPr>
        <w:pStyle w:val="FootnoteText"/>
        <w:spacing w:after="120"/>
        <w:ind w:firstLine="720"/>
      </w:pPr>
      <w:r>
        <w:rPr>
          <w:rStyle w:val="FootnoteReference"/>
        </w:rPr>
        <w:footnoteRef/>
      </w:r>
      <w:r>
        <w:t xml:space="preserve">  Attachment </w:t>
      </w:r>
      <w:r w:rsidR="00A315C2">
        <w:t>B</w:t>
      </w:r>
      <w:r>
        <w:t>.</w:t>
      </w:r>
    </w:p>
  </w:footnote>
  <w:footnote w:id="72">
    <w:p w14:paraId="48FC552D" w14:textId="4DD137B8" w:rsidR="00A315C2" w:rsidRDefault="00A315C2" w:rsidP="003A6401">
      <w:pPr>
        <w:pStyle w:val="FootnoteText"/>
        <w:spacing w:after="120"/>
        <w:ind w:firstLine="720"/>
      </w:pPr>
      <w:r>
        <w:rPr>
          <w:rStyle w:val="FootnoteReference"/>
        </w:rPr>
        <w:footnoteRef/>
      </w:r>
      <w:r>
        <w:t xml:space="preserve">  Attachment B. </w:t>
      </w:r>
    </w:p>
  </w:footnote>
  <w:footnote w:id="73">
    <w:p w14:paraId="02652616" w14:textId="5CFE5702" w:rsidR="00D47793" w:rsidRDefault="00D47793" w:rsidP="003A6401">
      <w:pPr>
        <w:pStyle w:val="FootnoteText"/>
        <w:spacing w:after="120"/>
        <w:ind w:firstLine="720"/>
      </w:pPr>
      <w:r>
        <w:rPr>
          <w:rStyle w:val="FootnoteReference"/>
        </w:rPr>
        <w:footnoteRef/>
      </w:r>
      <w:r>
        <w:t xml:space="preserve">  </w:t>
      </w:r>
      <w:r>
        <w:t>HoM 2 Tr. at 780-784 (Gimenez Cross) (</w:t>
      </w:r>
      <w:r w:rsidR="00BE37FA">
        <w:t>Mar</w:t>
      </w:r>
      <w:r>
        <w:t xml:space="preserve">. </w:t>
      </w:r>
      <w:r w:rsidR="00BE37FA">
        <w:t>22</w:t>
      </w:r>
      <w:r>
        <w:t>, 202</w:t>
      </w:r>
      <w:r w:rsidR="00BE37FA">
        <w:t>3</w:t>
      </w:r>
      <w:r>
        <w:t>).</w:t>
      </w:r>
    </w:p>
  </w:footnote>
  <w:footnote w:id="74">
    <w:p w14:paraId="1FE51322" w14:textId="43BF9D77" w:rsidR="000E621D" w:rsidRDefault="000E621D" w:rsidP="003A6401">
      <w:pPr>
        <w:pStyle w:val="FootnoteText"/>
        <w:spacing w:after="120"/>
        <w:ind w:firstLine="720"/>
      </w:pPr>
      <w:r>
        <w:rPr>
          <w:rStyle w:val="FootnoteReference"/>
        </w:rPr>
        <w:footnoteRef/>
      </w:r>
      <w:r>
        <w:t xml:space="preserve">  Staff acknowledges that this number does not account for debt-service coverage. However, given that Windermere’s budget did not include that amount, and Windermere claims to have set its rates using the 2020 annual budget, </w:t>
      </w:r>
      <w:r w:rsidR="00B97458">
        <w:t xml:space="preserve">Staff has attempted to stay within the parameters set by Windermere itself. </w:t>
      </w:r>
    </w:p>
  </w:footnote>
  <w:footnote w:id="75">
    <w:p w14:paraId="4B0E6C09" w14:textId="6F5D0F4B" w:rsidR="00B0507F" w:rsidRPr="00B0507F" w:rsidRDefault="00B0507F" w:rsidP="003A6401">
      <w:pPr>
        <w:pStyle w:val="FootnoteText"/>
        <w:spacing w:after="120"/>
        <w:ind w:firstLine="720"/>
      </w:pPr>
      <w:r>
        <w:rPr>
          <w:rStyle w:val="FootnoteReference"/>
        </w:rPr>
        <w:footnoteRef/>
      </w:r>
      <w:r>
        <w:t xml:space="preserve">  Ratepayers </w:t>
      </w:r>
      <w:r>
        <w:t xml:space="preserve">HoM 2 Ex. </w:t>
      </w:r>
      <w:r w:rsidR="00D15B01">
        <w:t>1</w:t>
      </w:r>
      <w:r w:rsidR="00280514">
        <w:t xml:space="preserve">50 at </w:t>
      </w:r>
      <w:r w:rsidR="00CF79F3">
        <w:t>41-45</w:t>
      </w:r>
      <w:r>
        <w:t>; Ratepayers Ex. 36.</w:t>
      </w:r>
    </w:p>
  </w:footnote>
  <w:footnote w:id="76">
    <w:p w14:paraId="4D8E7941" w14:textId="4D08D792" w:rsidR="00873CBF" w:rsidRDefault="00873CBF" w:rsidP="003A6401">
      <w:pPr>
        <w:pStyle w:val="FootnoteText"/>
        <w:spacing w:after="120"/>
        <w:ind w:firstLine="720"/>
      </w:pPr>
      <w:r>
        <w:rPr>
          <w:rStyle w:val="FootnoteReference"/>
        </w:rPr>
        <w:footnoteRef/>
      </w:r>
      <w:r>
        <w:t xml:space="preserve">  PFD at 39.</w:t>
      </w:r>
    </w:p>
  </w:footnote>
  <w:footnote w:id="77">
    <w:p w14:paraId="093F33FC" w14:textId="27AA9572" w:rsidR="00873CBF" w:rsidRPr="00873CBF" w:rsidRDefault="00873CBF" w:rsidP="003A6401">
      <w:pPr>
        <w:pStyle w:val="FootnoteText"/>
        <w:spacing w:after="120"/>
        <w:ind w:firstLine="720"/>
      </w:pPr>
      <w:r>
        <w:rPr>
          <w:rStyle w:val="FootnoteReference"/>
        </w:rPr>
        <w:footnoteRef/>
      </w:r>
      <w:r>
        <w:t xml:space="preserve">  </w:t>
      </w:r>
      <w:r>
        <w:rPr>
          <w:i/>
          <w:iCs/>
        </w:rPr>
        <w:t>Id.</w:t>
      </w:r>
    </w:p>
  </w:footnote>
  <w:footnote w:id="78">
    <w:p w14:paraId="28C6681D" w14:textId="07639B0A" w:rsidR="008573F0" w:rsidRDefault="008573F0" w:rsidP="003A6401">
      <w:pPr>
        <w:pStyle w:val="FootnoteText"/>
        <w:spacing w:after="120"/>
        <w:ind w:firstLine="720"/>
      </w:pPr>
      <w:r>
        <w:rPr>
          <w:rStyle w:val="FootnoteReference"/>
        </w:rPr>
        <w:footnoteRef/>
      </w:r>
      <w:r>
        <w:t xml:space="preserve">  Ratepayers </w:t>
      </w:r>
      <w:r>
        <w:t>HoM 2 Ex. 150 at 36.</w:t>
      </w:r>
    </w:p>
  </w:footnote>
  <w:footnote w:id="79">
    <w:p w14:paraId="15DA133E" w14:textId="0BD4B9A3" w:rsidR="00567C0A" w:rsidRPr="00567C0A" w:rsidRDefault="00567C0A" w:rsidP="003A6401">
      <w:pPr>
        <w:pStyle w:val="FootnoteText"/>
        <w:spacing w:after="120"/>
        <w:ind w:firstLine="720"/>
      </w:pPr>
      <w:r>
        <w:rPr>
          <w:rStyle w:val="FootnoteReference"/>
        </w:rPr>
        <w:footnoteRef/>
      </w:r>
      <w:r>
        <w:t xml:space="preserve"> </w:t>
      </w:r>
      <w:r>
        <w:rPr>
          <w:i/>
          <w:iCs/>
        </w:rPr>
        <w:t xml:space="preserve">Town of </w:t>
      </w:r>
      <w:r>
        <w:rPr>
          <w:i/>
          <w:iCs/>
        </w:rPr>
        <w:t>Woodloch</w:t>
      </w:r>
      <w:r>
        <w:t>, Proposal for Decision at 22 (internal citations omitted).</w:t>
      </w:r>
    </w:p>
  </w:footnote>
  <w:footnote w:id="80">
    <w:p w14:paraId="75CA8A47" w14:textId="242A57D6" w:rsidR="00567C0A" w:rsidRPr="00567C0A" w:rsidRDefault="00567C0A" w:rsidP="003A6401">
      <w:pPr>
        <w:pStyle w:val="FootnoteText"/>
        <w:spacing w:after="120"/>
        <w:ind w:firstLine="720"/>
        <w:rPr>
          <w:i/>
          <w:iCs/>
        </w:rPr>
      </w:pPr>
      <w:r>
        <w:rPr>
          <w:rStyle w:val="FootnoteReference"/>
        </w:rPr>
        <w:footnoteRef/>
      </w:r>
      <w:r>
        <w:t xml:space="preserve">  </w:t>
      </w:r>
      <w:r>
        <w:rPr>
          <w:i/>
          <w:iCs/>
        </w:rPr>
        <w:t>Id.</w:t>
      </w:r>
    </w:p>
  </w:footnote>
  <w:footnote w:id="81">
    <w:p w14:paraId="2E93E2F0" w14:textId="65067772" w:rsidR="00C25FA4" w:rsidRDefault="00C25FA4" w:rsidP="003A6401">
      <w:pPr>
        <w:pStyle w:val="FootnoteText"/>
        <w:spacing w:after="120"/>
        <w:ind w:firstLine="720"/>
      </w:pPr>
      <w:r>
        <w:rPr>
          <w:rStyle w:val="FootnoteReference"/>
        </w:rPr>
        <w:footnoteRef/>
      </w:r>
      <w:r>
        <w:t xml:space="preserve">  </w:t>
      </w:r>
      <w:r w:rsidR="0016626D">
        <w:t>Staff Ex. 3 (Gilford Dir.) at 17.</w:t>
      </w:r>
    </w:p>
  </w:footnote>
  <w:footnote w:id="82">
    <w:p w14:paraId="49A7B7A5" w14:textId="0FAAF779" w:rsidR="00E51F3D" w:rsidRDefault="00E51F3D" w:rsidP="003A6401">
      <w:pPr>
        <w:pStyle w:val="FootnoteText"/>
        <w:spacing w:after="120"/>
        <w:ind w:firstLine="720"/>
      </w:pPr>
      <w:r>
        <w:rPr>
          <w:rStyle w:val="FootnoteReference"/>
        </w:rPr>
        <w:footnoteRef/>
      </w:r>
      <w:r>
        <w:t xml:space="preserve">  WOWSC Ex. 2 (Gimenez Dir.) at JG-1 (Tariff) at 43-44.</w:t>
      </w:r>
    </w:p>
  </w:footnote>
  <w:footnote w:id="83">
    <w:p w14:paraId="39EFAD7E" w14:textId="77777777" w:rsidR="002F11C7" w:rsidRDefault="002F11C7" w:rsidP="003A6401">
      <w:pPr>
        <w:pStyle w:val="FootnoteText"/>
        <w:spacing w:after="120"/>
        <w:ind w:firstLine="720"/>
      </w:pPr>
      <w:r>
        <w:rPr>
          <w:rStyle w:val="FootnoteReference"/>
        </w:rPr>
        <w:footnoteRef/>
      </w:r>
      <w:r>
        <w:t xml:space="preserve">  Ratepayers </w:t>
      </w:r>
      <w:r>
        <w:t>HoM 2 Ex. 144B.</w:t>
      </w:r>
    </w:p>
  </w:footnote>
  <w:footnote w:id="84">
    <w:p w14:paraId="61DD3348" w14:textId="7386DE53" w:rsidR="008D2652" w:rsidRPr="00EF5F75" w:rsidRDefault="008D2652" w:rsidP="003A6401">
      <w:pPr>
        <w:pStyle w:val="FootnoteText"/>
        <w:spacing w:after="120"/>
        <w:ind w:firstLine="720"/>
      </w:pPr>
      <w:r>
        <w:rPr>
          <w:rStyle w:val="FootnoteReference"/>
        </w:rPr>
        <w:footnoteRef/>
      </w:r>
      <w:r>
        <w:t xml:space="preserve">  </w:t>
      </w:r>
      <w:r>
        <w:rPr>
          <w:i/>
          <w:iCs/>
        </w:rPr>
        <w:t>Application of LCRA Transmission Services Corporation to Change Rates</w:t>
      </w:r>
      <w:r w:rsidR="00EF5F75">
        <w:t>, Docket No. 28906, Order (Apr. 5, 2005).</w:t>
      </w:r>
    </w:p>
  </w:footnote>
  <w:footnote w:id="85">
    <w:p w14:paraId="170970AE" w14:textId="525A6EBC" w:rsidR="00A44517" w:rsidRDefault="00A44517" w:rsidP="003A6401">
      <w:pPr>
        <w:pStyle w:val="FootnoteText"/>
        <w:spacing w:after="120"/>
        <w:ind w:firstLine="720"/>
      </w:pPr>
      <w:r>
        <w:rPr>
          <w:rStyle w:val="FootnoteReference"/>
        </w:rPr>
        <w:footnoteRef/>
      </w:r>
      <w:r>
        <w:t xml:space="preserve">  WOWSC Ex. 9 (Rabon Reb.), GR-2; </w:t>
      </w:r>
      <w:r w:rsidR="00CE59DF">
        <w:t xml:space="preserve">Ratepayers </w:t>
      </w:r>
      <w:r w:rsidR="00CE59DF">
        <w:t>HoM 2 Ex. 133.</w:t>
      </w:r>
    </w:p>
  </w:footnote>
  <w:footnote w:id="86">
    <w:p w14:paraId="3375B57F" w14:textId="6153BFCF" w:rsidR="00C05C0D" w:rsidRDefault="00C05C0D" w:rsidP="003A6401">
      <w:pPr>
        <w:pStyle w:val="FootnoteText"/>
        <w:spacing w:after="120"/>
        <w:ind w:firstLine="720"/>
      </w:pPr>
      <w:r>
        <w:rPr>
          <w:rStyle w:val="FootnoteReference"/>
        </w:rPr>
        <w:footnoteRef/>
      </w:r>
      <w:r>
        <w:t xml:space="preserve">  </w:t>
      </w:r>
      <w:r>
        <w:t>HoM Tr. Day 2 at 432-33 (Rabon Cross) (Dec. 2, 2021).</w:t>
      </w:r>
    </w:p>
  </w:footnote>
  <w:footnote w:id="87">
    <w:p w14:paraId="2DD69DC2" w14:textId="37084495" w:rsidR="005F7670" w:rsidRDefault="005F7670" w:rsidP="003A6401">
      <w:pPr>
        <w:pStyle w:val="FootnoteText"/>
        <w:spacing w:after="120"/>
        <w:ind w:firstLine="720"/>
      </w:pPr>
      <w:r>
        <w:rPr>
          <w:rStyle w:val="FootnoteReference"/>
        </w:rPr>
        <w:footnoteRef/>
      </w:r>
      <w:r>
        <w:t xml:space="preserve">  PFD at </w:t>
      </w:r>
      <w:r w:rsidR="006B4530">
        <w:t>46, citing WOWSC Ex. 2 (Gimenez Dir.), Attachment JG-2 at 2 of 22.</w:t>
      </w:r>
    </w:p>
  </w:footnote>
  <w:footnote w:id="88">
    <w:p w14:paraId="515A8B21" w14:textId="0B9897A1" w:rsidR="001D02B3" w:rsidRDefault="001D02B3" w:rsidP="003A6401">
      <w:pPr>
        <w:pStyle w:val="FootnoteText"/>
        <w:spacing w:after="120"/>
        <w:ind w:firstLine="720"/>
      </w:pPr>
      <w:r>
        <w:rPr>
          <w:rStyle w:val="FootnoteReference"/>
        </w:rPr>
        <w:footnoteRef/>
      </w:r>
      <w:r>
        <w:t xml:space="preserve">  </w:t>
      </w:r>
      <w:r>
        <w:t xml:space="preserve">HoM Tr. Day </w:t>
      </w:r>
      <w:r w:rsidR="0055438E">
        <w:t>2</w:t>
      </w:r>
      <w:r>
        <w:t xml:space="preserve"> at </w:t>
      </w:r>
      <w:r w:rsidR="0055438E">
        <w:t>346</w:t>
      </w:r>
      <w:r>
        <w:t>-</w:t>
      </w:r>
      <w:r w:rsidR="0055438E">
        <w:t>347</w:t>
      </w:r>
      <w:r>
        <w:t xml:space="preserve"> (Gimenez Cross) (Dec. </w:t>
      </w:r>
      <w:r w:rsidR="0055438E">
        <w:t>2</w:t>
      </w:r>
      <w:r>
        <w:t>, 2021)</w:t>
      </w:r>
      <w:r w:rsidR="002636EB">
        <w:t>; WOWSC Ex. 3 at JG-27</w:t>
      </w:r>
      <w:r w:rsidR="00C05C0D">
        <w:t>.</w:t>
      </w:r>
    </w:p>
  </w:footnote>
  <w:footnote w:id="89">
    <w:p w14:paraId="5A7B0170" w14:textId="3B8A1CB7" w:rsidR="008E4A40" w:rsidRDefault="008E4A40" w:rsidP="003A6401">
      <w:pPr>
        <w:pStyle w:val="FootnoteText"/>
        <w:spacing w:after="120"/>
        <w:ind w:firstLine="720"/>
      </w:pPr>
      <w:r>
        <w:rPr>
          <w:rStyle w:val="FootnoteReference"/>
        </w:rPr>
        <w:footnoteRef/>
      </w:r>
      <w:r>
        <w:t xml:space="preserve">  PFD at 47, citing WOWSC Ex. 9 (Rabon Reb.) at 9.</w:t>
      </w:r>
    </w:p>
  </w:footnote>
  <w:footnote w:id="90">
    <w:p w14:paraId="24CDDCD3" w14:textId="7DF14059" w:rsidR="00694BC1" w:rsidRDefault="00694BC1" w:rsidP="003A6401">
      <w:pPr>
        <w:pStyle w:val="FootnoteText"/>
        <w:spacing w:after="120"/>
        <w:ind w:firstLine="720"/>
      </w:pPr>
      <w:r>
        <w:rPr>
          <w:rStyle w:val="FootnoteReference"/>
        </w:rPr>
        <w:footnoteRef/>
      </w:r>
      <w:r>
        <w:t xml:space="preserve">  PFD at 47.</w:t>
      </w:r>
    </w:p>
  </w:footnote>
  <w:footnote w:id="91">
    <w:p w14:paraId="52E63ED3" w14:textId="73AA8DFF" w:rsidR="00EA7978" w:rsidRDefault="00EA7978" w:rsidP="003A6401">
      <w:pPr>
        <w:pStyle w:val="FootnoteText"/>
        <w:spacing w:after="120"/>
        <w:ind w:firstLine="720"/>
      </w:pPr>
      <w:r>
        <w:rPr>
          <w:rStyle w:val="FootnoteReference"/>
        </w:rPr>
        <w:footnoteRef/>
      </w:r>
      <w:r>
        <w:t xml:space="preserve">  Ratepayers </w:t>
      </w:r>
      <w:r>
        <w:t>HoM 2 Ex. 150 at 1.</w:t>
      </w:r>
    </w:p>
  </w:footnote>
  <w:footnote w:id="92">
    <w:p w14:paraId="713745D6" w14:textId="582A136C" w:rsidR="00E04DF9" w:rsidRDefault="00E04DF9" w:rsidP="003A6401">
      <w:pPr>
        <w:pStyle w:val="FootnoteText"/>
        <w:spacing w:after="120"/>
        <w:ind w:firstLine="720"/>
      </w:pPr>
      <w:r>
        <w:rPr>
          <w:rStyle w:val="FootnoteReference"/>
        </w:rPr>
        <w:footnoteRef/>
      </w:r>
      <w:r>
        <w:t xml:space="preserve">  </w:t>
      </w:r>
      <w:r w:rsidRPr="00E975D5">
        <w:rPr>
          <w:i/>
          <w:iCs/>
        </w:rPr>
        <w:t>Ratepayers Appeal of the Decision by Windermere Oaks Water Supply Corporation to Change Water and Sewer Rates</w:t>
      </w:r>
      <w:r>
        <w:t xml:space="preserve">, Docket No. 50788, </w:t>
      </w:r>
      <w:r w:rsidRPr="004E60D8">
        <w:t>Affidavit of Jamie L. Mauldin Related to the Rate Case Expenses of Windermere Oaks Water Supply Corporation</w:t>
      </w:r>
      <w:r>
        <w:t xml:space="preserve"> at 5.</w:t>
      </w:r>
    </w:p>
  </w:footnote>
  <w:footnote w:id="93">
    <w:p w14:paraId="6D87E0E3" w14:textId="54871B58" w:rsidR="00D710FE" w:rsidRDefault="00D710FE" w:rsidP="00B63830">
      <w:pPr>
        <w:pStyle w:val="FootnoteText"/>
        <w:spacing w:after="120"/>
        <w:ind w:firstLine="720"/>
      </w:pPr>
      <w:r>
        <w:rPr>
          <w:rStyle w:val="FootnoteReference"/>
        </w:rPr>
        <w:footnoteRef/>
      </w:r>
      <w:r>
        <w:t xml:space="preserve">  Staff </w:t>
      </w:r>
      <w:r>
        <w:t xml:space="preserve">HoM Ex. </w:t>
      </w:r>
      <w:r w:rsidR="00D24F81">
        <w:t>1 (Mendoza Supp. Dir.) at 16.</w:t>
      </w:r>
    </w:p>
  </w:footnote>
  <w:footnote w:id="94">
    <w:p w14:paraId="1F33ED4F" w14:textId="79490B25" w:rsidR="001D59DE" w:rsidRDefault="001D59DE" w:rsidP="00B63830">
      <w:pPr>
        <w:pStyle w:val="FootnoteText"/>
        <w:spacing w:after="120"/>
        <w:ind w:firstLine="720"/>
      </w:pPr>
      <w:r>
        <w:rPr>
          <w:rStyle w:val="FootnoteReference"/>
        </w:rPr>
        <w:footnoteRef/>
      </w:r>
      <w:r>
        <w:t xml:space="preserve">  Attachment B.</w:t>
      </w:r>
    </w:p>
  </w:footnote>
  <w:footnote w:id="95">
    <w:p w14:paraId="258CFBD3" w14:textId="79BE6F1F" w:rsidR="001D59DE" w:rsidRDefault="001D59DE" w:rsidP="00B63830">
      <w:pPr>
        <w:pStyle w:val="FootnoteText"/>
        <w:spacing w:after="120"/>
        <w:ind w:firstLine="720"/>
      </w:pPr>
      <w:r>
        <w:rPr>
          <w:rStyle w:val="FootnoteReference"/>
        </w:rPr>
        <w:footnoteRef/>
      </w:r>
      <w:r>
        <w:t xml:space="preserve">  Attachment A. </w:t>
      </w:r>
    </w:p>
  </w:footnote>
  <w:footnote w:id="96">
    <w:p w14:paraId="5FEEF5C1" w14:textId="77777777" w:rsidR="005B5EFE" w:rsidRDefault="005B5EFE" w:rsidP="00B63830">
      <w:pPr>
        <w:pStyle w:val="FootnoteText"/>
        <w:spacing w:after="120"/>
        <w:ind w:firstLine="720"/>
      </w:pPr>
      <w:r>
        <w:rPr>
          <w:rStyle w:val="FootnoteReference"/>
        </w:rPr>
        <w:footnoteRef/>
      </w:r>
      <w:r>
        <w:t xml:space="preserve">  The PFD recommends that Staff submit number running consistent with the PFDs recommendations; Staff will file those calculations no later than September 1,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D2347" w14:textId="77777777" w:rsidR="003635A3" w:rsidRPr="003E2C64" w:rsidRDefault="003635A3">
    <w:pPr>
      <w:pStyle w:val="Header"/>
      <w:jc w:val="right"/>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32F2B" w14:textId="77777777" w:rsidR="003635A3" w:rsidRPr="0003106D" w:rsidRDefault="003635A3">
    <w:pPr>
      <w:pStyle w:val="Header"/>
      <w:jc w:val="right"/>
      <w:rPr>
        <w:b/>
        <w:b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F01C" w14:textId="77777777" w:rsidR="003635A3" w:rsidRDefault="003635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714E7" w14:textId="71739D6F" w:rsidR="00437E00" w:rsidRPr="00E934EE" w:rsidRDefault="00437E00">
    <w:pPr>
      <w:pStyle w:val="Header"/>
      <w:jc w:val="right"/>
      <w:rPr>
        <w:b/>
        <w:bCs/>
        <w:sz w:val="20"/>
      </w:rPr>
    </w:pPr>
    <w:r w:rsidRPr="00E934EE">
      <w:rPr>
        <w:b/>
        <w:bCs/>
        <w:sz w:val="20"/>
      </w:rPr>
      <w:t xml:space="preserve">Page </w:t>
    </w:r>
    <w:r w:rsidRPr="00E934EE">
      <w:rPr>
        <w:b/>
        <w:bCs/>
        <w:sz w:val="20"/>
      </w:rPr>
      <w:fldChar w:fldCharType="begin"/>
    </w:r>
    <w:r w:rsidRPr="00E934EE">
      <w:rPr>
        <w:b/>
        <w:bCs/>
        <w:sz w:val="20"/>
      </w:rPr>
      <w:instrText xml:space="preserve"> PAGE </w:instrText>
    </w:r>
    <w:r w:rsidRPr="00E934EE">
      <w:rPr>
        <w:b/>
        <w:bCs/>
        <w:sz w:val="20"/>
      </w:rPr>
      <w:fldChar w:fldCharType="separate"/>
    </w:r>
    <w:r w:rsidRPr="00E934EE">
      <w:rPr>
        <w:b/>
        <w:bCs/>
        <w:noProof/>
        <w:sz w:val="20"/>
      </w:rPr>
      <w:t>2</w:t>
    </w:r>
    <w:r w:rsidRPr="00E934EE">
      <w:rPr>
        <w:b/>
        <w:bCs/>
        <w:sz w:val="20"/>
      </w:rPr>
      <w:fldChar w:fldCharType="end"/>
    </w:r>
    <w:r w:rsidRPr="00E934EE">
      <w:rPr>
        <w:b/>
        <w:bCs/>
        <w:sz w:val="20"/>
      </w:rPr>
      <w:t xml:space="preserve"> of </w:t>
    </w:r>
    <w:r w:rsidR="003E5D2A">
      <w:rPr>
        <w:b/>
        <w:bCs/>
        <w:sz w:val="20"/>
      </w:rPr>
      <w:t>2</w:t>
    </w:r>
    <w:r w:rsidR="003973E0">
      <w:rPr>
        <w:b/>
        <w:bCs/>
        <w:sz w:val="20"/>
      </w:rPr>
      <w:t>8</w:t>
    </w:r>
  </w:p>
  <w:p w14:paraId="3439A5BB" w14:textId="77777777" w:rsidR="002A1EEF" w:rsidRPr="00E934EE" w:rsidRDefault="002A1EEF">
    <w:pPr>
      <w:pStyle w:val="Header"/>
      <w:jc w:val="right"/>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685C1C"/>
    <w:multiLevelType w:val="multilevel"/>
    <w:tmpl w:val="0409001D"/>
    <w:styleLink w:val="Style3"/>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Roman"/>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5F467A"/>
    <w:multiLevelType w:val="hybridMultilevel"/>
    <w:tmpl w:val="D89EC1F6"/>
    <w:lvl w:ilvl="0" w:tplc="4D3C4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85505F9"/>
    <w:multiLevelType w:val="hybridMultilevel"/>
    <w:tmpl w:val="459A8F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AD84962"/>
    <w:multiLevelType w:val="hybridMultilevel"/>
    <w:tmpl w:val="07A251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18A1CD9"/>
    <w:multiLevelType w:val="hybridMultilevel"/>
    <w:tmpl w:val="6FD8191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7D822C4"/>
    <w:multiLevelType w:val="multilevel"/>
    <w:tmpl w:val="767E29CA"/>
    <w:lvl w:ilvl="0">
      <w:start w:val="1"/>
      <w:numFmt w:val="upperRoman"/>
      <w:pStyle w:val="Style2"/>
      <w:lvlText w:val="%1."/>
      <w:lvlJc w:val="left"/>
      <w:rPr>
        <w:rFonts w:ascii="Times New Roman" w:hAnsi="Times New Roman" w:cs="Times New Roman" w:hint="default"/>
        <w:b/>
        <w:bCs/>
        <w:i w:val="0"/>
        <w:iCs w:val="0"/>
        <w:caps w:val="0"/>
        <w:smallCaps w:val="0"/>
        <w:strike w:val="0"/>
        <w:dstrike w:val="0"/>
        <w:noProof w:val="0"/>
        <w:snapToGrid w:val="0"/>
        <w:vanish w:val="0"/>
        <w:color w:val="auto"/>
        <w:spacing w:val="0"/>
        <w:w w:val="0"/>
        <w:kern w:val="0"/>
        <w:position w:val="0"/>
        <w:sz w:val="24"/>
        <w:szCs w:val="0"/>
        <w:u w:val="none" w:color="000000"/>
        <w:effect w:val="none"/>
        <w:bdr w:val="none" w:sz="0" w:space="0" w:color="000000"/>
        <w:shd w:val="clear" w:color="000000" w:fill="000000"/>
        <w:vertAlign w:val="baseline"/>
        <w:em w:val="none"/>
        <w:lang w:val="x-none" w:eastAsia="x-none" w:bidi="x-none"/>
        <w:specVanish w:val="0"/>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5" w15:restartNumberingAfterBreak="0">
    <w:nsid w:val="7E5263A6"/>
    <w:multiLevelType w:val="multilevel"/>
    <w:tmpl w:val="69346554"/>
    <w:lvl w:ilvl="0">
      <w:start w:val="1"/>
      <w:numFmt w:val="upperRoman"/>
      <w:lvlText w:val="%1."/>
      <w:lvlJc w:val="right"/>
      <w:pPr>
        <w:ind w:left="360" w:hanging="360"/>
      </w:pPr>
      <w:rPr>
        <w:rFonts w:hint="default"/>
        <w:b/>
        <w:i w:val="0"/>
        <w:color w:val="auto"/>
        <w:sz w:val="24"/>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30887264">
    <w:abstractNumId w:val="0"/>
  </w:num>
  <w:num w:numId="2" w16cid:durableId="1781872526">
    <w:abstractNumId w:val="14"/>
  </w:num>
  <w:num w:numId="3" w16cid:durableId="1854029772">
    <w:abstractNumId w:val="6"/>
  </w:num>
  <w:num w:numId="4" w16cid:durableId="1137410010">
    <w:abstractNumId w:val="3"/>
  </w:num>
  <w:num w:numId="5" w16cid:durableId="341973740">
    <w:abstractNumId w:val="13"/>
  </w:num>
  <w:num w:numId="6" w16cid:durableId="219942542">
    <w:abstractNumId w:val="12"/>
  </w:num>
  <w:num w:numId="7" w16cid:durableId="547106696">
    <w:abstractNumId w:val="8"/>
  </w:num>
  <w:num w:numId="8" w16cid:durableId="572400623">
    <w:abstractNumId w:val="9"/>
  </w:num>
  <w:num w:numId="9" w16cid:durableId="1228154095">
    <w:abstractNumId w:val="10"/>
  </w:num>
  <w:num w:numId="10" w16cid:durableId="585261805">
    <w:abstractNumId w:val="11"/>
  </w:num>
  <w:num w:numId="11" w16cid:durableId="2025785698">
    <w:abstractNumId w:val="4"/>
  </w:num>
  <w:num w:numId="12" w16cid:durableId="318000450">
    <w:abstractNumId w:val="1"/>
  </w:num>
  <w:num w:numId="13" w16cid:durableId="887185367">
    <w:abstractNumId w:val="15"/>
  </w:num>
  <w:num w:numId="14" w16cid:durableId="238099287">
    <w:abstractNumId w:val="11"/>
  </w:num>
  <w:num w:numId="15" w16cid:durableId="36319626">
    <w:abstractNumId w:val="7"/>
  </w:num>
  <w:num w:numId="16" w16cid:durableId="1170759043">
    <w:abstractNumId w:val="5"/>
  </w:num>
  <w:num w:numId="17" w16cid:durableId="9917867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362"/>
    <w:rsid w:val="0000053B"/>
    <w:rsid w:val="000007B5"/>
    <w:rsid w:val="0000107F"/>
    <w:rsid w:val="00001549"/>
    <w:rsid w:val="0000210E"/>
    <w:rsid w:val="00003550"/>
    <w:rsid w:val="0000372E"/>
    <w:rsid w:val="000038EE"/>
    <w:rsid w:val="00003FC0"/>
    <w:rsid w:val="00003FE4"/>
    <w:rsid w:val="000045D4"/>
    <w:rsid w:val="00005998"/>
    <w:rsid w:val="00006869"/>
    <w:rsid w:val="000068BD"/>
    <w:rsid w:val="00007E7F"/>
    <w:rsid w:val="000105CC"/>
    <w:rsid w:val="00011874"/>
    <w:rsid w:val="000120D3"/>
    <w:rsid w:val="000125D0"/>
    <w:rsid w:val="000134BB"/>
    <w:rsid w:val="0001404A"/>
    <w:rsid w:val="00014C31"/>
    <w:rsid w:val="00015160"/>
    <w:rsid w:val="00016692"/>
    <w:rsid w:val="00017CAB"/>
    <w:rsid w:val="00020FA0"/>
    <w:rsid w:val="0002259C"/>
    <w:rsid w:val="000230E8"/>
    <w:rsid w:val="000233F8"/>
    <w:rsid w:val="00023A92"/>
    <w:rsid w:val="00023D66"/>
    <w:rsid w:val="00024721"/>
    <w:rsid w:val="00024BEB"/>
    <w:rsid w:val="00025C72"/>
    <w:rsid w:val="0002635B"/>
    <w:rsid w:val="0003106D"/>
    <w:rsid w:val="00031E31"/>
    <w:rsid w:val="00033562"/>
    <w:rsid w:val="00034029"/>
    <w:rsid w:val="000355E1"/>
    <w:rsid w:val="00035DF6"/>
    <w:rsid w:val="00036186"/>
    <w:rsid w:val="00036CCB"/>
    <w:rsid w:val="00036D3E"/>
    <w:rsid w:val="00040E00"/>
    <w:rsid w:val="000413E9"/>
    <w:rsid w:val="00043A07"/>
    <w:rsid w:val="00044CBD"/>
    <w:rsid w:val="00045794"/>
    <w:rsid w:val="000459CC"/>
    <w:rsid w:val="000466E9"/>
    <w:rsid w:val="00047AA4"/>
    <w:rsid w:val="000500D5"/>
    <w:rsid w:val="00050EC3"/>
    <w:rsid w:val="00050EF6"/>
    <w:rsid w:val="000516C2"/>
    <w:rsid w:val="00051B47"/>
    <w:rsid w:val="0005234C"/>
    <w:rsid w:val="00052810"/>
    <w:rsid w:val="00054E99"/>
    <w:rsid w:val="0005625B"/>
    <w:rsid w:val="0005751C"/>
    <w:rsid w:val="000617E7"/>
    <w:rsid w:val="000621BB"/>
    <w:rsid w:val="000635AB"/>
    <w:rsid w:val="00063628"/>
    <w:rsid w:val="000640C4"/>
    <w:rsid w:val="000650B1"/>
    <w:rsid w:val="000652C9"/>
    <w:rsid w:val="000662FA"/>
    <w:rsid w:val="00066BF3"/>
    <w:rsid w:val="000671A9"/>
    <w:rsid w:val="00067566"/>
    <w:rsid w:val="00070649"/>
    <w:rsid w:val="000715F7"/>
    <w:rsid w:val="0007180A"/>
    <w:rsid w:val="0007243A"/>
    <w:rsid w:val="00072FE5"/>
    <w:rsid w:val="000737D8"/>
    <w:rsid w:val="00073919"/>
    <w:rsid w:val="0007608F"/>
    <w:rsid w:val="000763B9"/>
    <w:rsid w:val="000767DB"/>
    <w:rsid w:val="00077E14"/>
    <w:rsid w:val="00080AB4"/>
    <w:rsid w:val="00080D1B"/>
    <w:rsid w:val="0008124A"/>
    <w:rsid w:val="00082506"/>
    <w:rsid w:val="00082D9D"/>
    <w:rsid w:val="00083CDD"/>
    <w:rsid w:val="00083D49"/>
    <w:rsid w:val="00085299"/>
    <w:rsid w:val="000857EC"/>
    <w:rsid w:val="00085C65"/>
    <w:rsid w:val="000868E3"/>
    <w:rsid w:val="00086983"/>
    <w:rsid w:val="00087454"/>
    <w:rsid w:val="0009009E"/>
    <w:rsid w:val="00090911"/>
    <w:rsid w:val="00090C0D"/>
    <w:rsid w:val="00090D5F"/>
    <w:rsid w:val="00090D93"/>
    <w:rsid w:val="00090F1B"/>
    <w:rsid w:val="00092522"/>
    <w:rsid w:val="00092B02"/>
    <w:rsid w:val="0009361B"/>
    <w:rsid w:val="0009426E"/>
    <w:rsid w:val="00094D6D"/>
    <w:rsid w:val="000952B2"/>
    <w:rsid w:val="000954BB"/>
    <w:rsid w:val="00095D49"/>
    <w:rsid w:val="000A07BB"/>
    <w:rsid w:val="000A1685"/>
    <w:rsid w:val="000A1905"/>
    <w:rsid w:val="000A2041"/>
    <w:rsid w:val="000A42A4"/>
    <w:rsid w:val="000A4BDD"/>
    <w:rsid w:val="000A6447"/>
    <w:rsid w:val="000A7B8A"/>
    <w:rsid w:val="000B10C9"/>
    <w:rsid w:val="000B1150"/>
    <w:rsid w:val="000B163B"/>
    <w:rsid w:val="000B1812"/>
    <w:rsid w:val="000B1D9D"/>
    <w:rsid w:val="000B24C3"/>
    <w:rsid w:val="000B494A"/>
    <w:rsid w:val="000B5B37"/>
    <w:rsid w:val="000B6985"/>
    <w:rsid w:val="000B698E"/>
    <w:rsid w:val="000B6F14"/>
    <w:rsid w:val="000B79E4"/>
    <w:rsid w:val="000C28DA"/>
    <w:rsid w:val="000C4031"/>
    <w:rsid w:val="000C4453"/>
    <w:rsid w:val="000C47A2"/>
    <w:rsid w:val="000C6AF9"/>
    <w:rsid w:val="000C718B"/>
    <w:rsid w:val="000D09B7"/>
    <w:rsid w:val="000D2013"/>
    <w:rsid w:val="000D2F4A"/>
    <w:rsid w:val="000D33B6"/>
    <w:rsid w:val="000D3CDD"/>
    <w:rsid w:val="000D4635"/>
    <w:rsid w:val="000D5CA4"/>
    <w:rsid w:val="000D5F63"/>
    <w:rsid w:val="000D7293"/>
    <w:rsid w:val="000D7E22"/>
    <w:rsid w:val="000E0196"/>
    <w:rsid w:val="000E0A3E"/>
    <w:rsid w:val="000E19FE"/>
    <w:rsid w:val="000E26FE"/>
    <w:rsid w:val="000E2DC6"/>
    <w:rsid w:val="000E33A1"/>
    <w:rsid w:val="000E5EEA"/>
    <w:rsid w:val="000E621D"/>
    <w:rsid w:val="000E6961"/>
    <w:rsid w:val="000E69BC"/>
    <w:rsid w:val="000E69F4"/>
    <w:rsid w:val="000F0200"/>
    <w:rsid w:val="000F1357"/>
    <w:rsid w:val="000F18A2"/>
    <w:rsid w:val="000F1B5D"/>
    <w:rsid w:val="000F1E4B"/>
    <w:rsid w:val="000F1F2F"/>
    <w:rsid w:val="000F1F40"/>
    <w:rsid w:val="000F2623"/>
    <w:rsid w:val="000F27AA"/>
    <w:rsid w:val="000F6BEB"/>
    <w:rsid w:val="000F7F9C"/>
    <w:rsid w:val="00101E9A"/>
    <w:rsid w:val="00103A5C"/>
    <w:rsid w:val="00104BD4"/>
    <w:rsid w:val="00104F3D"/>
    <w:rsid w:val="00106C16"/>
    <w:rsid w:val="0011139E"/>
    <w:rsid w:val="001117CE"/>
    <w:rsid w:val="0011263C"/>
    <w:rsid w:val="00112DF6"/>
    <w:rsid w:val="00113C1A"/>
    <w:rsid w:val="00113E96"/>
    <w:rsid w:val="00113FC2"/>
    <w:rsid w:val="00114B3B"/>
    <w:rsid w:val="00115863"/>
    <w:rsid w:val="001158EB"/>
    <w:rsid w:val="00116C86"/>
    <w:rsid w:val="001171A2"/>
    <w:rsid w:val="00121443"/>
    <w:rsid w:val="00122C66"/>
    <w:rsid w:val="00124131"/>
    <w:rsid w:val="00125212"/>
    <w:rsid w:val="00125DA1"/>
    <w:rsid w:val="00127224"/>
    <w:rsid w:val="001276FD"/>
    <w:rsid w:val="00130026"/>
    <w:rsid w:val="001309DD"/>
    <w:rsid w:val="00131493"/>
    <w:rsid w:val="00131651"/>
    <w:rsid w:val="0013248A"/>
    <w:rsid w:val="001328C0"/>
    <w:rsid w:val="00132C88"/>
    <w:rsid w:val="00134281"/>
    <w:rsid w:val="00134399"/>
    <w:rsid w:val="001343D9"/>
    <w:rsid w:val="001347B7"/>
    <w:rsid w:val="001370E3"/>
    <w:rsid w:val="00137261"/>
    <w:rsid w:val="0014228A"/>
    <w:rsid w:val="00142F15"/>
    <w:rsid w:val="00143BAC"/>
    <w:rsid w:val="00143C9E"/>
    <w:rsid w:val="00143DBB"/>
    <w:rsid w:val="0014407B"/>
    <w:rsid w:val="00145229"/>
    <w:rsid w:val="00147053"/>
    <w:rsid w:val="00147D0D"/>
    <w:rsid w:val="00147FAD"/>
    <w:rsid w:val="00150158"/>
    <w:rsid w:val="0015059C"/>
    <w:rsid w:val="00150F49"/>
    <w:rsid w:val="00151409"/>
    <w:rsid w:val="001524E0"/>
    <w:rsid w:val="00152E43"/>
    <w:rsid w:val="001530F1"/>
    <w:rsid w:val="00153FCB"/>
    <w:rsid w:val="00154A93"/>
    <w:rsid w:val="00154D5C"/>
    <w:rsid w:val="00156994"/>
    <w:rsid w:val="00160193"/>
    <w:rsid w:val="00160297"/>
    <w:rsid w:val="00160BA1"/>
    <w:rsid w:val="00160F90"/>
    <w:rsid w:val="00161593"/>
    <w:rsid w:val="00162210"/>
    <w:rsid w:val="00163803"/>
    <w:rsid w:val="00164F46"/>
    <w:rsid w:val="00165068"/>
    <w:rsid w:val="0016626D"/>
    <w:rsid w:val="00166CF6"/>
    <w:rsid w:val="00166EF5"/>
    <w:rsid w:val="0016707F"/>
    <w:rsid w:val="001675B3"/>
    <w:rsid w:val="0016766D"/>
    <w:rsid w:val="00167865"/>
    <w:rsid w:val="00167AC8"/>
    <w:rsid w:val="00167B9A"/>
    <w:rsid w:val="00170C23"/>
    <w:rsid w:val="00170F68"/>
    <w:rsid w:val="001710F2"/>
    <w:rsid w:val="001711C0"/>
    <w:rsid w:val="001719D9"/>
    <w:rsid w:val="0017204A"/>
    <w:rsid w:val="00172793"/>
    <w:rsid w:val="001741E4"/>
    <w:rsid w:val="00175F2C"/>
    <w:rsid w:val="00176BA1"/>
    <w:rsid w:val="00176D68"/>
    <w:rsid w:val="00177E14"/>
    <w:rsid w:val="001806E9"/>
    <w:rsid w:val="001808EB"/>
    <w:rsid w:val="0018184D"/>
    <w:rsid w:val="00182747"/>
    <w:rsid w:val="00185733"/>
    <w:rsid w:val="00185BE1"/>
    <w:rsid w:val="00190E87"/>
    <w:rsid w:val="001917DE"/>
    <w:rsid w:val="00191F51"/>
    <w:rsid w:val="00192006"/>
    <w:rsid w:val="00193E17"/>
    <w:rsid w:val="00195AD1"/>
    <w:rsid w:val="00197531"/>
    <w:rsid w:val="00197A7B"/>
    <w:rsid w:val="00197CB9"/>
    <w:rsid w:val="001A0FF4"/>
    <w:rsid w:val="001A2D16"/>
    <w:rsid w:val="001A3922"/>
    <w:rsid w:val="001A425B"/>
    <w:rsid w:val="001A7DBE"/>
    <w:rsid w:val="001B0D9A"/>
    <w:rsid w:val="001B1444"/>
    <w:rsid w:val="001B25EA"/>
    <w:rsid w:val="001B3AA7"/>
    <w:rsid w:val="001B41A1"/>
    <w:rsid w:val="001B5683"/>
    <w:rsid w:val="001B62AF"/>
    <w:rsid w:val="001B7236"/>
    <w:rsid w:val="001B7560"/>
    <w:rsid w:val="001B7D5F"/>
    <w:rsid w:val="001C02C2"/>
    <w:rsid w:val="001C0432"/>
    <w:rsid w:val="001C051A"/>
    <w:rsid w:val="001C06FC"/>
    <w:rsid w:val="001C0EBF"/>
    <w:rsid w:val="001C1AD7"/>
    <w:rsid w:val="001C1ED8"/>
    <w:rsid w:val="001C222D"/>
    <w:rsid w:val="001C2674"/>
    <w:rsid w:val="001C28A6"/>
    <w:rsid w:val="001C2943"/>
    <w:rsid w:val="001C38BF"/>
    <w:rsid w:val="001C3BDA"/>
    <w:rsid w:val="001C3F41"/>
    <w:rsid w:val="001C477A"/>
    <w:rsid w:val="001C5B84"/>
    <w:rsid w:val="001C5F8E"/>
    <w:rsid w:val="001C682F"/>
    <w:rsid w:val="001C71DC"/>
    <w:rsid w:val="001C7A71"/>
    <w:rsid w:val="001D009B"/>
    <w:rsid w:val="001D02B1"/>
    <w:rsid w:val="001D02B3"/>
    <w:rsid w:val="001D04D8"/>
    <w:rsid w:val="001D05AC"/>
    <w:rsid w:val="001D0EFA"/>
    <w:rsid w:val="001D2873"/>
    <w:rsid w:val="001D2F2A"/>
    <w:rsid w:val="001D4815"/>
    <w:rsid w:val="001D4825"/>
    <w:rsid w:val="001D4839"/>
    <w:rsid w:val="001D48AE"/>
    <w:rsid w:val="001D4AAB"/>
    <w:rsid w:val="001D5226"/>
    <w:rsid w:val="001D59DE"/>
    <w:rsid w:val="001D5DA0"/>
    <w:rsid w:val="001D69F8"/>
    <w:rsid w:val="001E0547"/>
    <w:rsid w:val="001E0622"/>
    <w:rsid w:val="001E0C20"/>
    <w:rsid w:val="001E1E75"/>
    <w:rsid w:val="001E1F46"/>
    <w:rsid w:val="001E2FD0"/>
    <w:rsid w:val="001E459B"/>
    <w:rsid w:val="001E55D1"/>
    <w:rsid w:val="001E6A41"/>
    <w:rsid w:val="001F0E0A"/>
    <w:rsid w:val="001F1407"/>
    <w:rsid w:val="001F190E"/>
    <w:rsid w:val="001F1C99"/>
    <w:rsid w:val="001F1EF7"/>
    <w:rsid w:val="001F5FDD"/>
    <w:rsid w:val="001F73B2"/>
    <w:rsid w:val="001F7D0C"/>
    <w:rsid w:val="002004F5"/>
    <w:rsid w:val="00201516"/>
    <w:rsid w:val="002023B4"/>
    <w:rsid w:val="0020243D"/>
    <w:rsid w:val="0020264C"/>
    <w:rsid w:val="00202D92"/>
    <w:rsid w:val="002030D4"/>
    <w:rsid w:val="002031A1"/>
    <w:rsid w:val="002034B3"/>
    <w:rsid w:val="0020404F"/>
    <w:rsid w:val="0020473E"/>
    <w:rsid w:val="00204D77"/>
    <w:rsid w:val="00205585"/>
    <w:rsid w:val="002057C9"/>
    <w:rsid w:val="00206F1E"/>
    <w:rsid w:val="00210CE2"/>
    <w:rsid w:val="00212B72"/>
    <w:rsid w:val="002133D5"/>
    <w:rsid w:val="00213624"/>
    <w:rsid w:val="002138F2"/>
    <w:rsid w:val="00214438"/>
    <w:rsid w:val="0021567A"/>
    <w:rsid w:val="002165C0"/>
    <w:rsid w:val="00216972"/>
    <w:rsid w:val="00217977"/>
    <w:rsid w:val="00220EE5"/>
    <w:rsid w:val="0022173D"/>
    <w:rsid w:val="002241EF"/>
    <w:rsid w:val="0022433D"/>
    <w:rsid w:val="00224E3B"/>
    <w:rsid w:val="00225793"/>
    <w:rsid w:val="0022580D"/>
    <w:rsid w:val="00225B41"/>
    <w:rsid w:val="00226485"/>
    <w:rsid w:val="00226C69"/>
    <w:rsid w:val="00227044"/>
    <w:rsid w:val="00227742"/>
    <w:rsid w:val="00230417"/>
    <w:rsid w:val="002306A6"/>
    <w:rsid w:val="0023091D"/>
    <w:rsid w:val="002329B6"/>
    <w:rsid w:val="00233301"/>
    <w:rsid w:val="00233D89"/>
    <w:rsid w:val="00234773"/>
    <w:rsid w:val="00234B93"/>
    <w:rsid w:val="00234BE6"/>
    <w:rsid w:val="00235055"/>
    <w:rsid w:val="0023568F"/>
    <w:rsid w:val="0023667D"/>
    <w:rsid w:val="002406C1"/>
    <w:rsid w:val="002407B5"/>
    <w:rsid w:val="00240ACF"/>
    <w:rsid w:val="00241E41"/>
    <w:rsid w:val="00241F50"/>
    <w:rsid w:val="002420B6"/>
    <w:rsid w:val="00242609"/>
    <w:rsid w:val="002433B2"/>
    <w:rsid w:val="00243585"/>
    <w:rsid w:val="0024377E"/>
    <w:rsid w:val="0024504D"/>
    <w:rsid w:val="00245F6B"/>
    <w:rsid w:val="0024753C"/>
    <w:rsid w:val="00247F89"/>
    <w:rsid w:val="00251864"/>
    <w:rsid w:val="00251BA6"/>
    <w:rsid w:val="00253324"/>
    <w:rsid w:val="00253FE6"/>
    <w:rsid w:val="002540DE"/>
    <w:rsid w:val="002544B7"/>
    <w:rsid w:val="00254500"/>
    <w:rsid w:val="00254879"/>
    <w:rsid w:val="0025506D"/>
    <w:rsid w:val="002556B3"/>
    <w:rsid w:val="00255886"/>
    <w:rsid w:val="00255919"/>
    <w:rsid w:val="00256BCE"/>
    <w:rsid w:val="0025700B"/>
    <w:rsid w:val="00257113"/>
    <w:rsid w:val="002609C9"/>
    <w:rsid w:val="00261437"/>
    <w:rsid w:val="002616FD"/>
    <w:rsid w:val="00261AFE"/>
    <w:rsid w:val="002629CF"/>
    <w:rsid w:val="002636EB"/>
    <w:rsid w:val="002640E3"/>
    <w:rsid w:val="00264BCD"/>
    <w:rsid w:val="00266A05"/>
    <w:rsid w:val="002673FE"/>
    <w:rsid w:val="00267D82"/>
    <w:rsid w:val="00270C7B"/>
    <w:rsid w:val="00271524"/>
    <w:rsid w:val="00271D18"/>
    <w:rsid w:val="00272208"/>
    <w:rsid w:val="0027228F"/>
    <w:rsid w:val="00272978"/>
    <w:rsid w:val="0027500D"/>
    <w:rsid w:val="00275571"/>
    <w:rsid w:val="00276006"/>
    <w:rsid w:val="0027701C"/>
    <w:rsid w:val="00277F33"/>
    <w:rsid w:val="00280514"/>
    <w:rsid w:val="00282897"/>
    <w:rsid w:val="0028316F"/>
    <w:rsid w:val="00283623"/>
    <w:rsid w:val="00283F39"/>
    <w:rsid w:val="00284D4D"/>
    <w:rsid w:val="00284E6B"/>
    <w:rsid w:val="00285426"/>
    <w:rsid w:val="002855C2"/>
    <w:rsid w:val="0028567C"/>
    <w:rsid w:val="0028599A"/>
    <w:rsid w:val="00285A49"/>
    <w:rsid w:val="00285BBF"/>
    <w:rsid w:val="00286D26"/>
    <w:rsid w:val="002874CC"/>
    <w:rsid w:val="00287A28"/>
    <w:rsid w:val="0029005F"/>
    <w:rsid w:val="00291F03"/>
    <w:rsid w:val="002920E7"/>
    <w:rsid w:val="00292841"/>
    <w:rsid w:val="002928AB"/>
    <w:rsid w:val="00293EDC"/>
    <w:rsid w:val="002947D0"/>
    <w:rsid w:val="002956E4"/>
    <w:rsid w:val="00296B0C"/>
    <w:rsid w:val="00296BA8"/>
    <w:rsid w:val="002A14C8"/>
    <w:rsid w:val="002A16BD"/>
    <w:rsid w:val="002A19E4"/>
    <w:rsid w:val="002A1B6F"/>
    <w:rsid w:val="002A1EEF"/>
    <w:rsid w:val="002A26FB"/>
    <w:rsid w:val="002A28CC"/>
    <w:rsid w:val="002A360E"/>
    <w:rsid w:val="002A3FBA"/>
    <w:rsid w:val="002A4485"/>
    <w:rsid w:val="002A4C69"/>
    <w:rsid w:val="002A52E9"/>
    <w:rsid w:val="002A58EF"/>
    <w:rsid w:val="002A5D48"/>
    <w:rsid w:val="002A7088"/>
    <w:rsid w:val="002A7A2C"/>
    <w:rsid w:val="002B1821"/>
    <w:rsid w:val="002B2064"/>
    <w:rsid w:val="002B28F1"/>
    <w:rsid w:val="002B2E09"/>
    <w:rsid w:val="002B3043"/>
    <w:rsid w:val="002B578D"/>
    <w:rsid w:val="002B7B4A"/>
    <w:rsid w:val="002B7F1B"/>
    <w:rsid w:val="002C0017"/>
    <w:rsid w:val="002C0AAB"/>
    <w:rsid w:val="002C263C"/>
    <w:rsid w:val="002C286B"/>
    <w:rsid w:val="002C48DC"/>
    <w:rsid w:val="002C4C90"/>
    <w:rsid w:val="002C4C99"/>
    <w:rsid w:val="002C5D86"/>
    <w:rsid w:val="002C6616"/>
    <w:rsid w:val="002C7D35"/>
    <w:rsid w:val="002C7F96"/>
    <w:rsid w:val="002D0247"/>
    <w:rsid w:val="002D170C"/>
    <w:rsid w:val="002D1A84"/>
    <w:rsid w:val="002D3A76"/>
    <w:rsid w:val="002D3BC4"/>
    <w:rsid w:val="002D3E74"/>
    <w:rsid w:val="002D481E"/>
    <w:rsid w:val="002D543A"/>
    <w:rsid w:val="002D56BD"/>
    <w:rsid w:val="002D56C2"/>
    <w:rsid w:val="002E019C"/>
    <w:rsid w:val="002E1455"/>
    <w:rsid w:val="002E1AE6"/>
    <w:rsid w:val="002E1CFB"/>
    <w:rsid w:val="002E2335"/>
    <w:rsid w:val="002E2746"/>
    <w:rsid w:val="002E45FE"/>
    <w:rsid w:val="002E56A6"/>
    <w:rsid w:val="002E6986"/>
    <w:rsid w:val="002E72B6"/>
    <w:rsid w:val="002E749D"/>
    <w:rsid w:val="002F0204"/>
    <w:rsid w:val="002F0463"/>
    <w:rsid w:val="002F07CA"/>
    <w:rsid w:val="002F08B6"/>
    <w:rsid w:val="002F11C7"/>
    <w:rsid w:val="002F1245"/>
    <w:rsid w:val="002F28BA"/>
    <w:rsid w:val="002F2935"/>
    <w:rsid w:val="002F3928"/>
    <w:rsid w:val="002F408C"/>
    <w:rsid w:val="002F4106"/>
    <w:rsid w:val="002F479D"/>
    <w:rsid w:val="002F4D68"/>
    <w:rsid w:val="002F68D9"/>
    <w:rsid w:val="00300562"/>
    <w:rsid w:val="00300841"/>
    <w:rsid w:val="003009B1"/>
    <w:rsid w:val="00300F64"/>
    <w:rsid w:val="00301E18"/>
    <w:rsid w:val="003021A2"/>
    <w:rsid w:val="00302B71"/>
    <w:rsid w:val="00302E1D"/>
    <w:rsid w:val="003033F1"/>
    <w:rsid w:val="00303832"/>
    <w:rsid w:val="00303A45"/>
    <w:rsid w:val="00304F2B"/>
    <w:rsid w:val="00305298"/>
    <w:rsid w:val="0030652F"/>
    <w:rsid w:val="00306752"/>
    <w:rsid w:val="0030693A"/>
    <w:rsid w:val="0031059E"/>
    <w:rsid w:val="0031589C"/>
    <w:rsid w:val="00316ABF"/>
    <w:rsid w:val="00316BC1"/>
    <w:rsid w:val="00320190"/>
    <w:rsid w:val="00322D94"/>
    <w:rsid w:val="00324B18"/>
    <w:rsid w:val="00325AE7"/>
    <w:rsid w:val="00325D55"/>
    <w:rsid w:val="003301B4"/>
    <w:rsid w:val="00330C7A"/>
    <w:rsid w:val="00332371"/>
    <w:rsid w:val="00332458"/>
    <w:rsid w:val="00332514"/>
    <w:rsid w:val="003346A4"/>
    <w:rsid w:val="00334EA5"/>
    <w:rsid w:val="00336ACF"/>
    <w:rsid w:val="00336C5E"/>
    <w:rsid w:val="00341854"/>
    <w:rsid w:val="003423E8"/>
    <w:rsid w:val="00342D96"/>
    <w:rsid w:val="0034461C"/>
    <w:rsid w:val="003455B0"/>
    <w:rsid w:val="00345D82"/>
    <w:rsid w:val="00346A62"/>
    <w:rsid w:val="00353E19"/>
    <w:rsid w:val="00355F65"/>
    <w:rsid w:val="00355F6E"/>
    <w:rsid w:val="003571DE"/>
    <w:rsid w:val="003572F9"/>
    <w:rsid w:val="003574DA"/>
    <w:rsid w:val="003577C6"/>
    <w:rsid w:val="00357C92"/>
    <w:rsid w:val="003602F6"/>
    <w:rsid w:val="003604B4"/>
    <w:rsid w:val="00360574"/>
    <w:rsid w:val="00360A0C"/>
    <w:rsid w:val="0036139A"/>
    <w:rsid w:val="00362D84"/>
    <w:rsid w:val="00362FF2"/>
    <w:rsid w:val="003635A3"/>
    <w:rsid w:val="00363ADC"/>
    <w:rsid w:val="00364931"/>
    <w:rsid w:val="00365CD7"/>
    <w:rsid w:val="00365F8E"/>
    <w:rsid w:val="003661D9"/>
    <w:rsid w:val="0036661C"/>
    <w:rsid w:val="003676DB"/>
    <w:rsid w:val="00370CFE"/>
    <w:rsid w:val="003716EC"/>
    <w:rsid w:val="003717EB"/>
    <w:rsid w:val="00371ABD"/>
    <w:rsid w:val="00373430"/>
    <w:rsid w:val="00374091"/>
    <w:rsid w:val="003744AE"/>
    <w:rsid w:val="003756EF"/>
    <w:rsid w:val="00375F64"/>
    <w:rsid w:val="0037601E"/>
    <w:rsid w:val="00376662"/>
    <w:rsid w:val="003767CB"/>
    <w:rsid w:val="003805B6"/>
    <w:rsid w:val="00381790"/>
    <w:rsid w:val="003819C5"/>
    <w:rsid w:val="0038276D"/>
    <w:rsid w:val="003829FA"/>
    <w:rsid w:val="00382ED4"/>
    <w:rsid w:val="00382FA5"/>
    <w:rsid w:val="00383D05"/>
    <w:rsid w:val="00384670"/>
    <w:rsid w:val="00384BB8"/>
    <w:rsid w:val="00384D01"/>
    <w:rsid w:val="00385074"/>
    <w:rsid w:val="00386406"/>
    <w:rsid w:val="0038660B"/>
    <w:rsid w:val="00387100"/>
    <w:rsid w:val="0038776A"/>
    <w:rsid w:val="00390E4B"/>
    <w:rsid w:val="003912E5"/>
    <w:rsid w:val="00391CAF"/>
    <w:rsid w:val="0039363F"/>
    <w:rsid w:val="00394475"/>
    <w:rsid w:val="003950E3"/>
    <w:rsid w:val="00395794"/>
    <w:rsid w:val="0039591B"/>
    <w:rsid w:val="003964AB"/>
    <w:rsid w:val="00397341"/>
    <w:rsid w:val="003973E0"/>
    <w:rsid w:val="00397AB0"/>
    <w:rsid w:val="003A04A7"/>
    <w:rsid w:val="003A0AFB"/>
    <w:rsid w:val="003A1B53"/>
    <w:rsid w:val="003A2B88"/>
    <w:rsid w:val="003A338C"/>
    <w:rsid w:val="003A33F2"/>
    <w:rsid w:val="003A47F8"/>
    <w:rsid w:val="003A5046"/>
    <w:rsid w:val="003A53E1"/>
    <w:rsid w:val="003A6401"/>
    <w:rsid w:val="003A72E7"/>
    <w:rsid w:val="003A7C0A"/>
    <w:rsid w:val="003B12A2"/>
    <w:rsid w:val="003B1987"/>
    <w:rsid w:val="003B1A75"/>
    <w:rsid w:val="003B1CD5"/>
    <w:rsid w:val="003B3F6F"/>
    <w:rsid w:val="003B49D2"/>
    <w:rsid w:val="003B4A1A"/>
    <w:rsid w:val="003B51B9"/>
    <w:rsid w:val="003B6280"/>
    <w:rsid w:val="003B653D"/>
    <w:rsid w:val="003B7349"/>
    <w:rsid w:val="003B7656"/>
    <w:rsid w:val="003C00CB"/>
    <w:rsid w:val="003C089C"/>
    <w:rsid w:val="003C0925"/>
    <w:rsid w:val="003C0C4B"/>
    <w:rsid w:val="003C0E04"/>
    <w:rsid w:val="003C1245"/>
    <w:rsid w:val="003C26BC"/>
    <w:rsid w:val="003C3267"/>
    <w:rsid w:val="003C381C"/>
    <w:rsid w:val="003C3D03"/>
    <w:rsid w:val="003C3E1C"/>
    <w:rsid w:val="003C52AE"/>
    <w:rsid w:val="003C6393"/>
    <w:rsid w:val="003D152A"/>
    <w:rsid w:val="003D1D6C"/>
    <w:rsid w:val="003D2113"/>
    <w:rsid w:val="003D2382"/>
    <w:rsid w:val="003D6BA3"/>
    <w:rsid w:val="003D7184"/>
    <w:rsid w:val="003D7568"/>
    <w:rsid w:val="003E0512"/>
    <w:rsid w:val="003E106A"/>
    <w:rsid w:val="003E166D"/>
    <w:rsid w:val="003E1AA5"/>
    <w:rsid w:val="003E1E5F"/>
    <w:rsid w:val="003E2C64"/>
    <w:rsid w:val="003E3248"/>
    <w:rsid w:val="003E4220"/>
    <w:rsid w:val="003E42D9"/>
    <w:rsid w:val="003E4A24"/>
    <w:rsid w:val="003E5D2A"/>
    <w:rsid w:val="003E6D6F"/>
    <w:rsid w:val="003E72C6"/>
    <w:rsid w:val="003E7A59"/>
    <w:rsid w:val="003E7C4C"/>
    <w:rsid w:val="003F076C"/>
    <w:rsid w:val="003F3452"/>
    <w:rsid w:val="003F59AF"/>
    <w:rsid w:val="003F5D2E"/>
    <w:rsid w:val="003F6018"/>
    <w:rsid w:val="003F6390"/>
    <w:rsid w:val="003F6A07"/>
    <w:rsid w:val="003F72A0"/>
    <w:rsid w:val="003F7A13"/>
    <w:rsid w:val="00400162"/>
    <w:rsid w:val="00400CF2"/>
    <w:rsid w:val="00401B95"/>
    <w:rsid w:val="004024E6"/>
    <w:rsid w:val="0040263A"/>
    <w:rsid w:val="00403630"/>
    <w:rsid w:val="00403B88"/>
    <w:rsid w:val="00404493"/>
    <w:rsid w:val="00404E53"/>
    <w:rsid w:val="004056DE"/>
    <w:rsid w:val="00406874"/>
    <w:rsid w:val="00406B49"/>
    <w:rsid w:val="00406E74"/>
    <w:rsid w:val="00407A69"/>
    <w:rsid w:val="00412153"/>
    <w:rsid w:val="0041248F"/>
    <w:rsid w:val="00412D77"/>
    <w:rsid w:val="00412F07"/>
    <w:rsid w:val="004139D4"/>
    <w:rsid w:val="004143E6"/>
    <w:rsid w:val="00414426"/>
    <w:rsid w:val="004148F5"/>
    <w:rsid w:val="00414B92"/>
    <w:rsid w:val="00414CF7"/>
    <w:rsid w:val="004158B3"/>
    <w:rsid w:val="00416916"/>
    <w:rsid w:val="00416E6E"/>
    <w:rsid w:val="00417C30"/>
    <w:rsid w:val="00420A4B"/>
    <w:rsid w:val="00422A05"/>
    <w:rsid w:val="00422FF5"/>
    <w:rsid w:val="004230D1"/>
    <w:rsid w:val="0042337B"/>
    <w:rsid w:val="00423664"/>
    <w:rsid w:val="004237D5"/>
    <w:rsid w:val="00424040"/>
    <w:rsid w:val="004246FC"/>
    <w:rsid w:val="00425945"/>
    <w:rsid w:val="004259C2"/>
    <w:rsid w:val="00425AD3"/>
    <w:rsid w:val="00425F6B"/>
    <w:rsid w:val="00426A5E"/>
    <w:rsid w:val="00426B0B"/>
    <w:rsid w:val="00430217"/>
    <w:rsid w:val="00431973"/>
    <w:rsid w:val="00432824"/>
    <w:rsid w:val="00432B8A"/>
    <w:rsid w:val="00432E36"/>
    <w:rsid w:val="004330F7"/>
    <w:rsid w:val="004337F3"/>
    <w:rsid w:val="00434247"/>
    <w:rsid w:val="00434BC9"/>
    <w:rsid w:val="00434C84"/>
    <w:rsid w:val="00435C56"/>
    <w:rsid w:val="00436497"/>
    <w:rsid w:val="00437E00"/>
    <w:rsid w:val="00437F13"/>
    <w:rsid w:val="0044166C"/>
    <w:rsid w:val="00441A56"/>
    <w:rsid w:val="00441B0D"/>
    <w:rsid w:val="004420F2"/>
    <w:rsid w:val="00442A05"/>
    <w:rsid w:val="00444AD1"/>
    <w:rsid w:val="00444CC5"/>
    <w:rsid w:val="00444FEA"/>
    <w:rsid w:val="00446C1B"/>
    <w:rsid w:val="004478B0"/>
    <w:rsid w:val="00450125"/>
    <w:rsid w:val="004501BD"/>
    <w:rsid w:val="0045057B"/>
    <w:rsid w:val="004509E0"/>
    <w:rsid w:val="00450C29"/>
    <w:rsid w:val="00451835"/>
    <w:rsid w:val="00451ADC"/>
    <w:rsid w:val="004522B4"/>
    <w:rsid w:val="00452351"/>
    <w:rsid w:val="004524E0"/>
    <w:rsid w:val="004528CC"/>
    <w:rsid w:val="00452C56"/>
    <w:rsid w:val="00453AF3"/>
    <w:rsid w:val="004540A3"/>
    <w:rsid w:val="004540CD"/>
    <w:rsid w:val="004546E9"/>
    <w:rsid w:val="00454895"/>
    <w:rsid w:val="00454EEB"/>
    <w:rsid w:val="004557DA"/>
    <w:rsid w:val="00460031"/>
    <w:rsid w:val="004607CB"/>
    <w:rsid w:val="00460B0D"/>
    <w:rsid w:val="004616B8"/>
    <w:rsid w:val="00461812"/>
    <w:rsid w:val="00461F4F"/>
    <w:rsid w:val="00463817"/>
    <w:rsid w:val="00463EEB"/>
    <w:rsid w:val="004647C4"/>
    <w:rsid w:val="00464A13"/>
    <w:rsid w:val="00464A4B"/>
    <w:rsid w:val="004663E3"/>
    <w:rsid w:val="004668FF"/>
    <w:rsid w:val="00466FD6"/>
    <w:rsid w:val="00467EF8"/>
    <w:rsid w:val="00470BE7"/>
    <w:rsid w:val="0047247A"/>
    <w:rsid w:val="004726BC"/>
    <w:rsid w:val="00472755"/>
    <w:rsid w:val="00472FCE"/>
    <w:rsid w:val="00473325"/>
    <w:rsid w:val="0047441F"/>
    <w:rsid w:val="00474FFC"/>
    <w:rsid w:val="0047620A"/>
    <w:rsid w:val="00477311"/>
    <w:rsid w:val="00477EC7"/>
    <w:rsid w:val="00477F05"/>
    <w:rsid w:val="004816B6"/>
    <w:rsid w:val="00482413"/>
    <w:rsid w:val="004824F3"/>
    <w:rsid w:val="00482C55"/>
    <w:rsid w:val="00482D57"/>
    <w:rsid w:val="00483D52"/>
    <w:rsid w:val="004852C6"/>
    <w:rsid w:val="00485D02"/>
    <w:rsid w:val="00485D9D"/>
    <w:rsid w:val="00486F37"/>
    <w:rsid w:val="00487CD6"/>
    <w:rsid w:val="00487FDF"/>
    <w:rsid w:val="00490341"/>
    <w:rsid w:val="00490A9A"/>
    <w:rsid w:val="00490BD0"/>
    <w:rsid w:val="00492B73"/>
    <w:rsid w:val="00492C92"/>
    <w:rsid w:val="004933EC"/>
    <w:rsid w:val="004937AA"/>
    <w:rsid w:val="00494E63"/>
    <w:rsid w:val="00495834"/>
    <w:rsid w:val="00495E5B"/>
    <w:rsid w:val="00496BEB"/>
    <w:rsid w:val="0049783F"/>
    <w:rsid w:val="004A1050"/>
    <w:rsid w:val="004A1A7C"/>
    <w:rsid w:val="004A25AE"/>
    <w:rsid w:val="004A2A7D"/>
    <w:rsid w:val="004A3BDD"/>
    <w:rsid w:val="004A4C04"/>
    <w:rsid w:val="004A5180"/>
    <w:rsid w:val="004A5255"/>
    <w:rsid w:val="004A66E2"/>
    <w:rsid w:val="004A6ED5"/>
    <w:rsid w:val="004A70E6"/>
    <w:rsid w:val="004A79EC"/>
    <w:rsid w:val="004B0808"/>
    <w:rsid w:val="004B28AB"/>
    <w:rsid w:val="004B49D0"/>
    <w:rsid w:val="004B4A42"/>
    <w:rsid w:val="004B56F3"/>
    <w:rsid w:val="004B6A19"/>
    <w:rsid w:val="004B6B9F"/>
    <w:rsid w:val="004C1700"/>
    <w:rsid w:val="004C18A9"/>
    <w:rsid w:val="004C19B7"/>
    <w:rsid w:val="004C1AE9"/>
    <w:rsid w:val="004C2639"/>
    <w:rsid w:val="004C2C4F"/>
    <w:rsid w:val="004C4866"/>
    <w:rsid w:val="004C4BA8"/>
    <w:rsid w:val="004C4BD5"/>
    <w:rsid w:val="004C6ED8"/>
    <w:rsid w:val="004C75BB"/>
    <w:rsid w:val="004D161A"/>
    <w:rsid w:val="004D18C5"/>
    <w:rsid w:val="004D20DD"/>
    <w:rsid w:val="004D3331"/>
    <w:rsid w:val="004D3376"/>
    <w:rsid w:val="004D3999"/>
    <w:rsid w:val="004D3E37"/>
    <w:rsid w:val="004D4BBE"/>
    <w:rsid w:val="004D5131"/>
    <w:rsid w:val="004D5E0E"/>
    <w:rsid w:val="004D6878"/>
    <w:rsid w:val="004D70D2"/>
    <w:rsid w:val="004E012F"/>
    <w:rsid w:val="004E170B"/>
    <w:rsid w:val="004E1D69"/>
    <w:rsid w:val="004E2493"/>
    <w:rsid w:val="004E3F17"/>
    <w:rsid w:val="004E4207"/>
    <w:rsid w:val="004E43DF"/>
    <w:rsid w:val="004E5152"/>
    <w:rsid w:val="004E563C"/>
    <w:rsid w:val="004E5EBD"/>
    <w:rsid w:val="004E60D8"/>
    <w:rsid w:val="004E6C68"/>
    <w:rsid w:val="004F12E8"/>
    <w:rsid w:val="004F2E2E"/>
    <w:rsid w:val="004F3113"/>
    <w:rsid w:val="004F3C72"/>
    <w:rsid w:val="004F439E"/>
    <w:rsid w:val="004F457A"/>
    <w:rsid w:val="004F49AB"/>
    <w:rsid w:val="004F5943"/>
    <w:rsid w:val="004F689C"/>
    <w:rsid w:val="004F6BA7"/>
    <w:rsid w:val="004F6E28"/>
    <w:rsid w:val="004F7487"/>
    <w:rsid w:val="00500EEB"/>
    <w:rsid w:val="00501293"/>
    <w:rsid w:val="00501819"/>
    <w:rsid w:val="00501A85"/>
    <w:rsid w:val="005024E1"/>
    <w:rsid w:val="005044BD"/>
    <w:rsid w:val="00506458"/>
    <w:rsid w:val="00506B2D"/>
    <w:rsid w:val="00506D02"/>
    <w:rsid w:val="00506F93"/>
    <w:rsid w:val="00507691"/>
    <w:rsid w:val="00510534"/>
    <w:rsid w:val="005107C8"/>
    <w:rsid w:val="00510C22"/>
    <w:rsid w:val="00511539"/>
    <w:rsid w:val="00511C9D"/>
    <w:rsid w:val="00511DE4"/>
    <w:rsid w:val="005128D9"/>
    <w:rsid w:val="00512D41"/>
    <w:rsid w:val="00513C62"/>
    <w:rsid w:val="00515AFE"/>
    <w:rsid w:val="00515E3B"/>
    <w:rsid w:val="00516AB6"/>
    <w:rsid w:val="00517C97"/>
    <w:rsid w:val="00521292"/>
    <w:rsid w:val="00521863"/>
    <w:rsid w:val="005230D2"/>
    <w:rsid w:val="00523529"/>
    <w:rsid w:val="00523F56"/>
    <w:rsid w:val="005265C1"/>
    <w:rsid w:val="00526DE5"/>
    <w:rsid w:val="00527BC8"/>
    <w:rsid w:val="00527DC6"/>
    <w:rsid w:val="005306E9"/>
    <w:rsid w:val="00531AB1"/>
    <w:rsid w:val="005327DE"/>
    <w:rsid w:val="00532D22"/>
    <w:rsid w:val="00534AE0"/>
    <w:rsid w:val="00534C14"/>
    <w:rsid w:val="005355F2"/>
    <w:rsid w:val="0053592E"/>
    <w:rsid w:val="00535BED"/>
    <w:rsid w:val="00535D5E"/>
    <w:rsid w:val="00535DF6"/>
    <w:rsid w:val="00535E49"/>
    <w:rsid w:val="0053609E"/>
    <w:rsid w:val="00537488"/>
    <w:rsid w:val="0053760F"/>
    <w:rsid w:val="0054012D"/>
    <w:rsid w:val="00540A05"/>
    <w:rsid w:val="005421F2"/>
    <w:rsid w:val="005422F5"/>
    <w:rsid w:val="00543D56"/>
    <w:rsid w:val="00544933"/>
    <w:rsid w:val="005474B3"/>
    <w:rsid w:val="00547D2D"/>
    <w:rsid w:val="0055077A"/>
    <w:rsid w:val="005526A4"/>
    <w:rsid w:val="005528A6"/>
    <w:rsid w:val="00553BD2"/>
    <w:rsid w:val="0055438E"/>
    <w:rsid w:val="005551B7"/>
    <w:rsid w:val="005552F9"/>
    <w:rsid w:val="005557FA"/>
    <w:rsid w:val="00555E35"/>
    <w:rsid w:val="00555FA1"/>
    <w:rsid w:val="00560802"/>
    <w:rsid w:val="005608DC"/>
    <w:rsid w:val="00561538"/>
    <w:rsid w:val="005617AE"/>
    <w:rsid w:val="00562C6E"/>
    <w:rsid w:val="0056420D"/>
    <w:rsid w:val="00564F18"/>
    <w:rsid w:val="00565A48"/>
    <w:rsid w:val="00565D97"/>
    <w:rsid w:val="00565E57"/>
    <w:rsid w:val="00566436"/>
    <w:rsid w:val="00566C26"/>
    <w:rsid w:val="00566FD8"/>
    <w:rsid w:val="00567C0A"/>
    <w:rsid w:val="00570EE5"/>
    <w:rsid w:val="0057127D"/>
    <w:rsid w:val="0057179F"/>
    <w:rsid w:val="005718EE"/>
    <w:rsid w:val="005728D1"/>
    <w:rsid w:val="00572B34"/>
    <w:rsid w:val="005736FA"/>
    <w:rsid w:val="0057374F"/>
    <w:rsid w:val="00573F7F"/>
    <w:rsid w:val="0057439C"/>
    <w:rsid w:val="0057620A"/>
    <w:rsid w:val="00577859"/>
    <w:rsid w:val="00581009"/>
    <w:rsid w:val="00581071"/>
    <w:rsid w:val="0058145D"/>
    <w:rsid w:val="0058216D"/>
    <w:rsid w:val="005833A4"/>
    <w:rsid w:val="00583715"/>
    <w:rsid w:val="00583D32"/>
    <w:rsid w:val="00587226"/>
    <w:rsid w:val="0058751C"/>
    <w:rsid w:val="00587716"/>
    <w:rsid w:val="00590836"/>
    <w:rsid w:val="00590D69"/>
    <w:rsid w:val="0059197A"/>
    <w:rsid w:val="00591E3F"/>
    <w:rsid w:val="00592DDE"/>
    <w:rsid w:val="00592FE4"/>
    <w:rsid w:val="0059308F"/>
    <w:rsid w:val="0059345B"/>
    <w:rsid w:val="0059417E"/>
    <w:rsid w:val="0059484A"/>
    <w:rsid w:val="00594C78"/>
    <w:rsid w:val="00595333"/>
    <w:rsid w:val="00595FDD"/>
    <w:rsid w:val="0059639F"/>
    <w:rsid w:val="00596748"/>
    <w:rsid w:val="00596A01"/>
    <w:rsid w:val="00596AEB"/>
    <w:rsid w:val="00596DB2"/>
    <w:rsid w:val="005A0A2C"/>
    <w:rsid w:val="005A15ED"/>
    <w:rsid w:val="005A165B"/>
    <w:rsid w:val="005A2D9D"/>
    <w:rsid w:val="005A31F1"/>
    <w:rsid w:val="005A5B24"/>
    <w:rsid w:val="005A652A"/>
    <w:rsid w:val="005A7EE1"/>
    <w:rsid w:val="005A7F76"/>
    <w:rsid w:val="005B0717"/>
    <w:rsid w:val="005B1271"/>
    <w:rsid w:val="005B2719"/>
    <w:rsid w:val="005B30B5"/>
    <w:rsid w:val="005B322C"/>
    <w:rsid w:val="005B3ED7"/>
    <w:rsid w:val="005B4514"/>
    <w:rsid w:val="005B5EFE"/>
    <w:rsid w:val="005B6597"/>
    <w:rsid w:val="005B6E1F"/>
    <w:rsid w:val="005B6E7C"/>
    <w:rsid w:val="005B74D8"/>
    <w:rsid w:val="005B76D0"/>
    <w:rsid w:val="005B7B33"/>
    <w:rsid w:val="005B7B44"/>
    <w:rsid w:val="005B7B7B"/>
    <w:rsid w:val="005B7F61"/>
    <w:rsid w:val="005C0313"/>
    <w:rsid w:val="005C04C8"/>
    <w:rsid w:val="005C1792"/>
    <w:rsid w:val="005C2634"/>
    <w:rsid w:val="005C3C63"/>
    <w:rsid w:val="005C4D44"/>
    <w:rsid w:val="005C4F5E"/>
    <w:rsid w:val="005C5115"/>
    <w:rsid w:val="005C6421"/>
    <w:rsid w:val="005C70C0"/>
    <w:rsid w:val="005C77C7"/>
    <w:rsid w:val="005C77D3"/>
    <w:rsid w:val="005D0D93"/>
    <w:rsid w:val="005D0E47"/>
    <w:rsid w:val="005D2287"/>
    <w:rsid w:val="005D2AB0"/>
    <w:rsid w:val="005D3A7D"/>
    <w:rsid w:val="005D4920"/>
    <w:rsid w:val="005D5F61"/>
    <w:rsid w:val="005D79CA"/>
    <w:rsid w:val="005E050C"/>
    <w:rsid w:val="005E1661"/>
    <w:rsid w:val="005E2C48"/>
    <w:rsid w:val="005E30C5"/>
    <w:rsid w:val="005E3879"/>
    <w:rsid w:val="005E6E9E"/>
    <w:rsid w:val="005E7215"/>
    <w:rsid w:val="005E77DC"/>
    <w:rsid w:val="005F09CB"/>
    <w:rsid w:val="005F1497"/>
    <w:rsid w:val="005F1BE0"/>
    <w:rsid w:val="005F3225"/>
    <w:rsid w:val="005F3965"/>
    <w:rsid w:val="005F3AB9"/>
    <w:rsid w:val="005F4F7A"/>
    <w:rsid w:val="005F72AB"/>
    <w:rsid w:val="005F7670"/>
    <w:rsid w:val="006009B4"/>
    <w:rsid w:val="00600A73"/>
    <w:rsid w:val="006015E6"/>
    <w:rsid w:val="006017D7"/>
    <w:rsid w:val="00602E8F"/>
    <w:rsid w:val="0060349A"/>
    <w:rsid w:val="0060359F"/>
    <w:rsid w:val="00603B97"/>
    <w:rsid w:val="0060633C"/>
    <w:rsid w:val="00606538"/>
    <w:rsid w:val="00606891"/>
    <w:rsid w:val="006102D3"/>
    <w:rsid w:val="006105A0"/>
    <w:rsid w:val="00611F34"/>
    <w:rsid w:val="00612E0D"/>
    <w:rsid w:val="006137D9"/>
    <w:rsid w:val="0061393C"/>
    <w:rsid w:val="00615565"/>
    <w:rsid w:val="006159E0"/>
    <w:rsid w:val="00615B7A"/>
    <w:rsid w:val="00615F16"/>
    <w:rsid w:val="0061677C"/>
    <w:rsid w:val="00616FBF"/>
    <w:rsid w:val="006206F2"/>
    <w:rsid w:val="00621AF5"/>
    <w:rsid w:val="00621C0C"/>
    <w:rsid w:val="006220E5"/>
    <w:rsid w:val="00623E46"/>
    <w:rsid w:val="00624807"/>
    <w:rsid w:val="00624B46"/>
    <w:rsid w:val="00624D7E"/>
    <w:rsid w:val="00625414"/>
    <w:rsid w:val="00625E72"/>
    <w:rsid w:val="00626378"/>
    <w:rsid w:val="00626576"/>
    <w:rsid w:val="00627B11"/>
    <w:rsid w:val="00631094"/>
    <w:rsid w:val="0063268E"/>
    <w:rsid w:val="00633065"/>
    <w:rsid w:val="00633BE4"/>
    <w:rsid w:val="0063414C"/>
    <w:rsid w:val="00634855"/>
    <w:rsid w:val="00637C60"/>
    <w:rsid w:val="00641913"/>
    <w:rsid w:val="0064292A"/>
    <w:rsid w:val="00643DF8"/>
    <w:rsid w:val="006441DE"/>
    <w:rsid w:val="006448A1"/>
    <w:rsid w:val="006448BF"/>
    <w:rsid w:val="006470FE"/>
    <w:rsid w:val="00647667"/>
    <w:rsid w:val="0064778C"/>
    <w:rsid w:val="00647B3B"/>
    <w:rsid w:val="0065001A"/>
    <w:rsid w:val="00650721"/>
    <w:rsid w:val="006507CD"/>
    <w:rsid w:val="00650A71"/>
    <w:rsid w:val="006510E4"/>
    <w:rsid w:val="006511CD"/>
    <w:rsid w:val="006514A0"/>
    <w:rsid w:val="00651798"/>
    <w:rsid w:val="00651D76"/>
    <w:rsid w:val="006539A7"/>
    <w:rsid w:val="006541A7"/>
    <w:rsid w:val="0065465C"/>
    <w:rsid w:val="006548C1"/>
    <w:rsid w:val="006566F4"/>
    <w:rsid w:val="006570BC"/>
    <w:rsid w:val="00657C14"/>
    <w:rsid w:val="00657E3C"/>
    <w:rsid w:val="006623BC"/>
    <w:rsid w:val="00662506"/>
    <w:rsid w:val="00662964"/>
    <w:rsid w:val="0066299F"/>
    <w:rsid w:val="00662F0A"/>
    <w:rsid w:val="006639AD"/>
    <w:rsid w:val="006639E3"/>
    <w:rsid w:val="006639EE"/>
    <w:rsid w:val="00664CE2"/>
    <w:rsid w:val="006651F5"/>
    <w:rsid w:val="0066679B"/>
    <w:rsid w:val="00666A6A"/>
    <w:rsid w:val="0066794B"/>
    <w:rsid w:val="00667F59"/>
    <w:rsid w:val="00670882"/>
    <w:rsid w:val="00670F99"/>
    <w:rsid w:val="00672B9B"/>
    <w:rsid w:val="00673119"/>
    <w:rsid w:val="0067486E"/>
    <w:rsid w:val="006750DE"/>
    <w:rsid w:val="00680607"/>
    <w:rsid w:val="00680CDE"/>
    <w:rsid w:val="006819A0"/>
    <w:rsid w:val="00681C6A"/>
    <w:rsid w:val="00682564"/>
    <w:rsid w:val="00686642"/>
    <w:rsid w:val="0068771C"/>
    <w:rsid w:val="00687DD6"/>
    <w:rsid w:val="00687ECC"/>
    <w:rsid w:val="0069014D"/>
    <w:rsid w:val="00690B18"/>
    <w:rsid w:val="00692A0A"/>
    <w:rsid w:val="00692AD3"/>
    <w:rsid w:val="0069438A"/>
    <w:rsid w:val="00694B8E"/>
    <w:rsid w:val="00694BC1"/>
    <w:rsid w:val="00695EE0"/>
    <w:rsid w:val="006964B5"/>
    <w:rsid w:val="006A08C9"/>
    <w:rsid w:val="006A105D"/>
    <w:rsid w:val="006A2452"/>
    <w:rsid w:val="006A28A3"/>
    <w:rsid w:val="006A2B01"/>
    <w:rsid w:val="006A32E8"/>
    <w:rsid w:val="006A4380"/>
    <w:rsid w:val="006A4BF3"/>
    <w:rsid w:val="006A4EDE"/>
    <w:rsid w:val="006A69B4"/>
    <w:rsid w:val="006A6CDF"/>
    <w:rsid w:val="006A7850"/>
    <w:rsid w:val="006A7F4C"/>
    <w:rsid w:val="006B1B0F"/>
    <w:rsid w:val="006B36E7"/>
    <w:rsid w:val="006B3A69"/>
    <w:rsid w:val="006B421B"/>
    <w:rsid w:val="006B4530"/>
    <w:rsid w:val="006B4C10"/>
    <w:rsid w:val="006B4CBE"/>
    <w:rsid w:val="006B538D"/>
    <w:rsid w:val="006B6B85"/>
    <w:rsid w:val="006C1410"/>
    <w:rsid w:val="006C2B8B"/>
    <w:rsid w:val="006C2E8A"/>
    <w:rsid w:val="006C376D"/>
    <w:rsid w:val="006C4780"/>
    <w:rsid w:val="006C5258"/>
    <w:rsid w:val="006C5F91"/>
    <w:rsid w:val="006C7B84"/>
    <w:rsid w:val="006D069F"/>
    <w:rsid w:val="006D0E3C"/>
    <w:rsid w:val="006D13DF"/>
    <w:rsid w:val="006D22F4"/>
    <w:rsid w:val="006D247C"/>
    <w:rsid w:val="006D357E"/>
    <w:rsid w:val="006D3B00"/>
    <w:rsid w:val="006D48D6"/>
    <w:rsid w:val="006D5EDD"/>
    <w:rsid w:val="006D6119"/>
    <w:rsid w:val="006D62B4"/>
    <w:rsid w:val="006D62BE"/>
    <w:rsid w:val="006D6F37"/>
    <w:rsid w:val="006D7DB2"/>
    <w:rsid w:val="006E02DD"/>
    <w:rsid w:val="006E0683"/>
    <w:rsid w:val="006E1E55"/>
    <w:rsid w:val="006E2418"/>
    <w:rsid w:val="006E3070"/>
    <w:rsid w:val="006E6366"/>
    <w:rsid w:val="006E6D50"/>
    <w:rsid w:val="006E72CB"/>
    <w:rsid w:val="006E73E4"/>
    <w:rsid w:val="006E7641"/>
    <w:rsid w:val="006F02B0"/>
    <w:rsid w:val="006F06C4"/>
    <w:rsid w:val="006F1A71"/>
    <w:rsid w:val="006F1CA9"/>
    <w:rsid w:val="006F2CB7"/>
    <w:rsid w:val="006F3155"/>
    <w:rsid w:val="006F3A4D"/>
    <w:rsid w:val="006F3BE8"/>
    <w:rsid w:val="006F4708"/>
    <w:rsid w:val="006F50B2"/>
    <w:rsid w:val="006F5990"/>
    <w:rsid w:val="006F67F9"/>
    <w:rsid w:val="006F755F"/>
    <w:rsid w:val="006F7E1F"/>
    <w:rsid w:val="00700891"/>
    <w:rsid w:val="00700C98"/>
    <w:rsid w:val="00701365"/>
    <w:rsid w:val="00701F55"/>
    <w:rsid w:val="007026FF"/>
    <w:rsid w:val="007028F4"/>
    <w:rsid w:val="00702D9E"/>
    <w:rsid w:val="00703215"/>
    <w:rsid w:val="007035E0"/>
    <w:rsid w:val="0070396E"/>
    <w:rsid w:val="0070406C"/>
    <w:rsid w:val="00704624"/>
    <w:rsid w:val="00705C9E"/>
    <w:rsid w:val="00706003"/>
    <w:rsid w:val="00706170"/>
    <w:rsid w:val="00706EA0"/>
    <w:rsid w:val="00706F73"/>
    <w:rsid w:val="007076B3"/>
    <w:rsid w:val="00707AEE"/>
    <w:rsid w:val="00707C2F"/>
    <w:rsid w:val="00711341"/>
    <w:rsid w:val="00711556"/>
    <w:rsid w:val="0071161D"/>
    <w:rsid w:val="00711B65"/>
    <w:rsid w:val="00712AFD"/>
    <w:rsid w:val="00713BAB"/>
    <w:rsid w:val="0071409A"/>
    <w:rsid w:val="00714165"/>
    <w:rsid w:val="00714B07"/>
    <w:rsid w:val="00714F3C"/>
    <w:rsid w:val="00715232"/>
    <w:rsid w:val="007154AA"/>
    <w:rsid w:val="007159C7"/>
    <w:rsid w:val="007166AC"/>
    <w:rsid w:val="00717047"/>
    <w:rsid w:val="00717D77"/>
    <w:rsid w:val="007203BA"/>
    <w:rsid w:val="007209A5"/>
    <w:rsid w:val="00721484"/>
    <w:rsid w:val="00723DCF"/>
    <w:rsid w:val="00724CCD"/>
    <w:rsid w:val="00725638"/>
    <w:rsid w:val="0072643C"/>
    <w:rsid w:val="007265D8"/>
    <w:rsid w:val="007267BE"/>
    <w:rsid w:val="007268F0"/>
    <w:rsid w:val="007271CB"/>
    <w:rsid w:val="00727306"/>
    <w:rsid w:val="007277B7"/>
    <w:rsid w:val="00732065"/>
    <w:rsid w:val="007332C1"/>
    <w:rsid w:val="0073385B"/>
    <w:rsid w:val="00734222"/>
    <w:rsid w:val="00734A40"/>
    <w:rsid w:val="00735F55"/>
    <w:rsid w:val="00735FE0"/>
    <w:rsid w:val="007361EB"/>
    <w:rsid w:val="00736697"/>
    <w:rsid w:val="00736E45"/>
    <w:rsid w:val="007413B1"/>
    <w:rsid w:val="007421B1"/>
    <w:rsid w:val="00742FED"/>
    <w:rsid w:val="00743AE5"/>
    <w:rsid w:val="00743CE0"/>
    <w:rsid w:val="00745A19"/>
    <w:rsid w:val="00745ADD"/>
    <w:rsid w:val="00745B07"/>
    <w:rsid w:val="00745F27"/>
    <w:rsid w:val="007467E4"/>
    <w:rsid w:val="00746CB1"/>
    <w:rsid w:val="007478AC"/>
    <w:rsid w:val="00747BBD"/>
    <w:rsid w:val="007509AB"/>
    <w:rsid w:val="0075196A"/>
    <w:rsid w:val="0075215A"/>
    <w:rsid w:val="00752A91"/>
    <w:rsid w:val="0075420D"/>
    <w:rsid w:val="00755362"/>
    <w:rsid w:val="007579DE"/>
    <w:rsid w:val="00757FED"/>
    <w:rsid w:val="00760012"/>
    <w:rsid w:val="007613B1"/>
    <w:rsid w:val="007629E9"/>
    <w:rsid w:val="007636DB"/>
    <w:rsid w:val="007638C0"/>
    <w:rsid w:val="007647B7"/>
    <w:rsid w:val="00765020"/>
    <w:rsid w:val="007653CF"/>
    <w:rsid w:val="00765886"/>
    <w:rsid w:val="00765910"/>
    <w:rsid w:val="00766487"/>
    <w:rsid w:val="00766674"/>
    <w:rsid w:val="00766A20"/>
    <w:rsid w:val="00767C9F"/>
    <w:rsid w:val="00770467"/>
    <w:rsid w:val="00770544"/>
    <w:rsid w:val="00770AC5"/>
    <w:rsid w:val="007710AA"/>
    <w:rsid w:val="007717F6"/>
    <w:rsid w:val="0077201B"/>
    <w:rsid w:val="007726C7"/>
    <w:rsid w:val="007729C6"/>
    <w:rsid w:val="00774186"/>
    <w:rsid w:val="00775029"/>
    <w:rsid w:val="007759C6"/>
    <w:rsid w:val="00777037"/>
    <w:rsid w:val="007805C5"/>
    <w:rsid w:val="007817B6"/>
    <w:rsid w:val="00782C5A"/>
    <w:rsid w:val="00782C82"/>
    <w:rsid w:val="0078307B"/>
    <w:rsid w:val="00783BC8"/>
    <w:rsid w:val="0078480C"/>
    <w:rsid w:val="00784BEE"/>
    <w:rsid w:val="00785106"/>
    <w:rsid w:val="00785268"/>
    <w:rsid w:val="0078545B"/>
    <w:rsid w:val="00785B05"/>
    <w:rsid w:val="00785D45"/>
    <w:rsid w:val="00786153"/>
    <w:rsid w:val="00786D3F"/>
    <w:rsid w:val="00786DF5"/>
    <w:rsid w:val="0078707F"/>
    <w:rsid w:val="0079020D"/>
    <w:rsid w:val="0079028C"/>
    <w:rsid w:val="0079049A"/>
    <w:rsid w:val="00791658"/>
    <w:rsid w:val="00791712"/>
    <w:rsid w:val="00792100"/>
    <w:rsid w:val="0079268C"/>
    <w:rsid w:val="00792690"/>
    <w:rsid w:val="007935E3"/>
    <w:rsid w:val="00793DDC"/>
    <w:rsid w:val="00795267"/>
    <w:rsid w:val="00795D56"/>
    <w:rsid w:val="00796CAE"/>
    <w:rsid w:val="0079717B"/>
    <w:rsid w:val="007972AD"/>
    <w:rsid w:val="00797488"/>
    <w:rsid w:val="007974D5"/>
    <w:rsid w:val="00797E04"/>
    <w:rsid w:val="007A029F"/>
    <w:rsid w:val="007A0444"/>
    <w:rsid w:val="007A052B"/>
    <w:rsid w:val="007A0F7E"/>
    <w:rsid w:val="007A1AEB"/>
    <w:rsid w:val="007A2616"/>
    <w:rsid w:val="007A2CCB"/>
    <w:rsid w:val="007A3290"/>
    <w:rsid w:val="007A38A3"/>
    <w:rsid w:val="007A4FB9"/>
    <w:rsid w:val="007A5F84"/>
    <w:rsid w:val="007B1473"/>
    <w:rsid w:val="007B1E54"/>
    <w:rsid w:val="007B41DC"/>
    <w:rsid w:val="007B582A"/>
    <w:rsid w:val="007B5AE9"/>
    <w:rsid w:val="007B645C"/>
    <w:rsid w:val="007B7064"/>
    <w:rsid w:val="007B7D0E"/>
    <w:rsid w:val="007B7FB8"/>
    <w:rsid w:val="007C0327"/>
    <w:rsid w:val="007C074A"/>
    <w:rsid w:val="007C0A06"/>
    <w:rsid w:val="007C1500"/>
    <w:rsid w:val="007C19AA"/>
    <w:rsid w:val="007C2379"/>
    <w:rsid w:val="007C26C6"/>
    <w:rsid w:val="007C2A95"/>
    <w:rsid w:val="007C2B76"/>
    <w:rsid w:val="007C3988"/>
    <w:rsid w:val="007C4093"/>
    <w:rsid w:val="007C438A"/>
    <w:rsid w:val="007C5688"/>
    <w:rsid w:val="007C64DA"/>
    <w:rsid w:val="007C6863"/>
    <w:rsid w:val="007C6BE8"/>
    <w:rsid w:val="007C73CE"/>
    <w:rsid w:val="007C7882"/>
    <w:rsid w:val="007C799D"/>
    <w:rsid w:val="007C7DCC"/>
    <w:rsid w:val="007D011C"/>
    <w:rsid w:val="007D147C"/>
    <w:rsid w:val="007D21B3"/>
    <w:rsid w:val="007D2BF7"/>
    <w:rsid w:val="007D2CF4"/>
    <w:rsid w:val="007D40C7"/>
    <w:rsid w:val="007D4449"/>
    <w:rsid w:val="007D4FDA"/>
    <w:rsid w:val="007D560F"/>
    <w:rsid w:val="007D59AE"/>
    <w:rsid w:val="007D60D9"/>
    <w:rsid w:val="007D6179"/>
    <w:rsid w:val="007D63B4"/>
    <w:rsid w:val="007D69F4"/>
    <w:rsid w:val="007D6DAD"/>
    <w:rsid w:val="007E177E"/>
    <w:rsid w:val="007E23CA"/>
    <w:rsid w:val="007E3123"/>
    <w:rsid w:val="007E4FD6"/>
    <w:rsid w:val="007E53D4"/>
    <w:rsid w:val="007E6030"/>
    <w:rsid w:val="007E6E32"/>
    <w:rsid w:val="007E75A2"/>
    <w:rsid w:val="007E7987"/>
    <w:rsid w:val="007E7B67"/>
    <w:rsid w:val="007F0233"/>
    <w:rsid w:val="007F05DA"/>
    <w:rsid w:val="007F0833"/>
    <w:rsid w:val="007F087F"/>
    <w:rsid w:val="007F0A52"/>
    <w:rsid w:val="007F12B3"/>
    <w:rsid w:val="007F19FD"/>
    <w:rsid w:val="007F1FF6"/>
    <w:rsid w:val="007F3D8F"/>
    <w:rsid w:val="007F43B7"/>
    <w:rsid w:val="007F7062"/>
    <w:rsid w:val="007F7842"/>
    <w:rsid w:val="0080064A"/>
    <w:rsid w:val="00802277"/>
    <w:rsid w:val="00802EBC"/>
    <w:rsid w:val="00803A58"/>
    <w:rsid w:val="00805FB2"/>
    <w:rsid w:val="00807025"/>
    <w:rsid w:val="008108C0"/>
    <w:rsid w:val="00810C1F"/>
    <w:rsid w:val="00811097"/>
    <w:rsid w:val="00811AEA"/>
    <w:rsid w:val="00812F5D"/>
    <w:rsid w:val="008134B0"/>
    <w:rsid w:val="00813959"/>
    <w:rsid w:val="008146C8"/>
    <w:rsid w:val="00814F44"/>
    <w:rsid w:val="0081535A"/>
    <w:rsid w:val="00815869"/>
    <w:rsid w:val="00816BC1"/>
    <w:rsid w:val="0082046C"/>
    <w:rsid w:val="008208B4"/>
    <w:rsid w:val="00820A85"/>
    <w:rsid w:val="008210CA"/>
    <w:rsid w:val="00821238"/>
    <w:rsid w:val="00821326"/>
    <w:rsid w:val="0082158B"/>
    <w:rsid w:val="008215AA"/>
    <w:rsid w:val="00822D52"/>
    <w:rsid w:val="00823671"/>
    <w:rsid w:val="00823734"/>
    <w:rsid w:val="00824557"/>
    <w:rsid w:val="00824A1C"/>
    <w:rsid w:val="00825E57"/>
    <w:rsid w:val="008269D4"/>
    <w:rsid w:val="00827E46"/>
    <w:rsid w:val="008303D9"/>
    <w:rsid w:val="00830627"/>
    <w:rsid w:val="008306E1"/>
    <w:rsid w:val="00830D3D"/>
    <w:rsid w:val="008315DD"/>
    <w:rsid w:val="008319DE"/>
    <w:rsid w:val="008321C4"/>
    <w:rsid w:val="00832437"/>
    <w:rsid w:val="00835FC6"/>
    <w:rsid w:val="00837966"/>
    <w:rsid w:val="008408B3"/>
    <w:rsid w:val="008410B8"/>
    <w:rsid w:val="0084126B"/>
    <w:rsid w:val="00844C11"/>
    <w:rsid w:val="00844E68"/>
    <w:rsid w:val="00846470"/>
    <w:rsid w:val="00847548"/>
    <w:rsid w:val="00851255"/>
    <w:rsid w:val="008513F9"/>
    <w:rsid w:val="00852DE2"/>
    <w:rsid w:val="00852F0B"/>
    <w:rsid w:val="00853F23"/>
    <w:rsid w:val="00854779"/>
    <w:rsid w:val="00854D8B"/>
    <w:rsid w:val="00854EC6"/>
    <w:rsid w:val="00855A5A"/>
    <w:rsid w:val="0085709F"/>
    <w:rsid w:val="008570EB"/>
    <w:rsid w:val="008573F0"/>
    <w:rsid w:val="00857686"/>
    <w:rsid w:val="008606C9"/>
    <w:rsid w:val="00861E2F"/>
    <w:rsid w:val="008621AC"/>
    <w:rsid w:val="008621F3"/>
    <w:rsid w:val="0086236B"/>
    <w:rsid w:val="008623D3"/>
    <w:rsid w:val="008627F8"/>
    <w:rsid w:val="00862921"/>
    <w:rsid w:val="0086496C"/>
    <w:rsid w:val="008650C7"/>
    <w:rsid w:val="008667A6"/>
    <w:rsid w:val="008711B3"/>
    <w:rsid w:val="00873122"/>
    <w:rsid w:val="008733C7"/>
    <w:rsid w:val="0087377B"/>
    <w:rsid w:val="00873CBF"/>
    <w:rsid w:val="00874447"/>
    <w:rsid w:val="00874A04"/>
    <w:rsid w:val="0088061E"/>
    <w:rsid w:val="00880F01"/>
    <w:rsid w:val="0088119F"/>
    <w:rsid w:val="008814ED"/>
    <w:rsid w:val="00881C28"/>
    <w:rsid w:val="00882A9C"/>
    <w:rsid w:val="0088393A"/>
    <w:rsid w:val="008847E3"/>
    <w:rsid w:val="00885648"/>
    <w:rsid w:val="00885CD1"/>
    <w:rsid w:val="0088603F"/>
    <w:rsid w:val="008871EA"/>
    <w:rsid w:val="008872E9"/>
    <w:rsid w:val="00887786"/>
    <w:rsid w:val="008903B0"/>
    <w:rsid w:val="00890D78"/>
    <w:rsid w:val="008915EB"/>
    <w:rsid w:val="00891C20"/>
    <w:rsid w:val="00893050"/>
    <w:rsid w:val="008930E5"/>
    <w:rsid w:val="00893AD8"/>
    <w:rsid w:val="00894128"/>
    <w:rsid w:val="008947F4"/>
    <w:rsid w:val="0089540E"/>
    <w:rsid w:val="008A0CD3"/>
    <w:rsid w:val="008A1088"/>
    <w:rsid w:val="008A174B"/>
    <w:rsid w:val="008A2952"/>
    <w:rsid w:val="008A2A72"/>
    <w:rsid w:val="008A2FC7"/>
    <w:rsid w:val="008A39BF"/>
    <w:rsid w:val="008A4152"/>
    <w:rsid w:val="008A50A1"/>
    <w:rsid w:val="008A5827"/>
    <w:rsid w:val="008A71D6"/>
    <w:rsid w:val="008A790A"/>
    <w:rsid w:val="008A7F35"/>
    <w:rsid w:val="008B0CAF"/>
    <w:rsid w:val="008B0F0B"/>
    <w:rsid w:val="008B1BA0"/>
    <w:rsid w:val="008B345E"/>
    <w:rsid w:val="008B3EB0"/>
    <w:rsid w:val="008B4E82"/>
    <w:rsid w:val="008B5086"/>
    <w:rsid w:val="008B73D6"/>
    <w:rsid w:val="008B7E0D"/>
    <w:rsid w:val="008C024B"/>
    <w:rsid w:val="008C04C4"/>
    <w:rsid w:val="008C05D3"/>
    <w:rsid w:val="008C28A9"/>
    <w:rsid w:val="008C2A3B"/>
    <w:rsid w:val="008C2D15"/>
    <w:rsid w:val="008C383E"/>
    <w:rsid w:val="008C3D2D"/>
    <w:rsid w:val="008C43FA"/>
    <w:rsid w:val="008C5130"/>
    <w:rsid w:val="008C522B"/>
    <w:rsid w:val="008C52C8"/>
    <w:rsid w:val="008C5825"/>
    <w:rsid w:val="008C59E6"/>
    <w:rsid w:val="008C63A6"/>
    <w:rsid w:val="008C6EFE"/>
    <w:rsid w:val="008C71E3"/>
    <w:rsid w:val="008D0224"/>
    <w:rsid w:val="008D2652"/>
    <w:rsid w:val="008D3B53"/>
    <w:rsid w:val="008D463A"/>
    <w:rsid w:val="008D4A1F"/>
    <w:rsid w:val="008D4CAE"/>
    <w:rsid w:val="008D585A"/>
    <w:rsid w:val="008D5F5D"/>
    <w:rsid w:val="008D66B3"/>
    <w:rsid w:val="008D6D92"/>
    <w:rsid w:val="008D720E"/>
    <w:rsid w:val="008D750C"/>
    <w:rsid w:val="008E1467"/>
    <w:rsid w:val="008E1558"/>
    <w:rsid w:val="008E1A92"/>
    <w:rsid w:val="008E302A"/>
    <w:rsid w:val="008E3639"/>
    <w:rsid w:val="008E469C"/>
    <w:rsid w:val="008E4957"/>
    <w:rsid w:val="008E4A40"/>
    <w:rsid w:val="008E4ECD"/>
    <w:rsid w:val="008E5909"/>
    <w:rsid w:val="008E5F5E"/>
    <w:rsid w:val="008E684E"/>
    <w:rsid w:val="008F06AF"/>
    <w:rsid w:val="008F1139"/>
    <w:rsid w:val="008F1B72"/>
    <w:rsid w:val="008F2A6E"/>
    <w:rsid w:val="008F36DB"/>
    <w:rsid w:val="008F5DDC"/>
    <w:rsid w:val="008F6422"/>
    <w:rsid w:val="008F71BE"/>
    <w:rsid w:val="008F771B"/>
    <w:rsid w:val="00900BC3"/>
    <w:rsid w:val="00903264"/>
    <w:rsid w:val="00903279"/>
    <w:rsid w:val="00903806"/>
    <w:rsid w:val="00903852"/>
    <w:rsid w:val="009040FD"/>
    <w:rsid w:val="00904289"/>
    <w:rsid w:val="00904DCE"/>
    <w:rsid w:val="0090639D"/>
    <w:rsid w:val="00906745"/>
    <w:rsid w:val="00906C49"/>
    <w:rsid w:val="009074E0"/>
    <w:rsid w:val="0090763B"/>
    <w:rsid w:val="00911000"/>
    <w:rsid w:val="0091136E"/>
    <w:rsid w:val="00911A58"/>
    <w:rsid w:val="00911CA1"/>
    <w:rsid w:val="0091250A"/>
    <w:rsid w:val="00913F73"/>
    <w:rsid w:val="0091523A"/>
    <w:rsid w:val="00915925"/>
    <w:rsid w:val="009164E4"/>
    <w:rsid w:val="009205B6"/>
    <w:rsid w:val="00921159"/>
    <w:rsid w:val="00922E7D"/>
    <w:rsid w:val="00924DE0"/>
    <w:rsid w:val="0092534B"/>
    <w:rsid w:val="00925917"/>
    <w:rsid w:val="00925C27"/>
    <w:rsid w:val="00927F0A"/>
    <w:rsid w:val="00930B8D"/>
    <w:rsid w:val="00930E4F"/>
    <w:rsid w:val="00932239"/>
    <w:rsid w:val="009322BE"/>
    <w:rsid w:val="00932E23"/>
    <w:rsid w:val="00933479"/>
    <w:rsid w:val="0093348C"/>
    <w:rsid w:val="0093350F"/>
    <w:rsid w:val="0093374D"/>
    <w:rsid w:val="009337FF"/>
    <w:rsid w:val="00933F91"/>
    <w:rsid w:val="009344A4"/>
    <w:rsid w:val="0093526D"/>
    <w:rsid w:val="009364A9"/>
    <w:rsid w:val="009365F1"/>
    <w:rsid w:val="00936A79"/>
    <w:rsid w:val="00937366"/>
    <w:rsid w:val="00937381"/>
    <w:rsid w:val="00937C04"/>
    <w:rsid w:val="00940316"/>
    <w:rsid w:val="009410CB"/>
    <w:rsid w:val="00941ECB"/>
    <w:rsid w:val="00942E9C"/>
    <w:rsid w:val="00942F88"/>
    <w:rsid w:val="00943A5D"/>
    <w:rsid w:val="00944CF8"/>
    <w:rsid w:val="0094655D"/>
    <w:rsid w:val="00947787"/>
    <w:rsid w:val="0095068A"/>
    <w:rsid w:val="009507F1"/>
    <w:rsid w:val="00951A46"/>
    <w:rsid w:val="009521AE"/>
    <w:rsid w:val="009529FB"/>
    <w:rsid w:val="00953708"/>
    <w:rsid w:val="00953B7B"/>
    <w:rsid w:val="009541EE"/>
    <w:rsid w:val="00955065"/>
    <w:rsid w:val="009557F7"/>
    <w:rsid w:val="00955CDF"/>
    <w:rsid w:val="00956021"/>
    <w:rsid w:val="00957D8B"/>
    <w:rsid w:val="009609E9"/>
    <w:rsid w:val="00960F8F"/>
    <w:rsid w:val="009614A2"/>
    <w:rsid w:val="00961D34"/>
    <w:rsid w:val="00962703"/>
    <w:rsid w:val="00962B9D"/>
    <w:rsid w:val="0096310F"/>
    <w:rsid w:val="009639C2"/>
    <w:rsid w:val="0096511E"/>
    <w:rsid w:val="009653B9"/>
    <w:rsid w:val="00965618"/>
    <w:rsid w:val="00966D67"/>
    <w:rsid w:val="0096710C"/>
    <w:rsid w:val="009705BD"/>
    <w:rsid w:val="00971254"/>
    <w:rsid w:val="00972299"/>
    <w:rsid w:val="0097311E"/>
    <w:rsid w:val="009741CA"/>
    <w:rsid w:val="00974C19"/>
    <w:rsid w:val="00975123"/>
    <w:rsid w:val="0097594B"/>
    <w:rsid w:val="00975A43"/>
    <w:rsid w:val="00977915"/>
    <w:rsid w:val="00980572"/>
    <w:rsid w:val="00980649"/>
    <w:rsid w:val="00981036"/>
    <w:rsid w:val="00981131"/>
    <w:rsid w:val="00981B2A"/>
    <w:rsid w:val="00982903"/>
    <w:rsid w:val="00983D7B"/>
    <w:rsid w:val="00983DEB"/>
    <w:rsid w:val="0098565F"/>
    <w:rsid w:val="00986DE5"/>
    <w:rsid w:val="00987729"/>
    <w:rsid w:val="00990FA5"/>
    <w:rsid w:val="0099101A"/>
    <w:rsid w:val="009912E8"/>
    <w:rsid w:val="00991476"/>
    <w:rsid w:val="009928C2"/>
    <w:rsid w:val="00992A41"/>
    <w:rsid w:val="00993C64"/>
    <w:rsid w:val="009956AE"/>
    <w:rsid w:val="009967A1"/>
    <w:rsid w:val="00996951"/>
    <w:rsid w:val="00997070"/>
    <w:rsid w:val="00997862"/>
    <w:rsid w:val="009A0122"/>
    <w:rsid w:val="009A0C81"/>
    <w:rsid w:val="009A160C"/>
    <w:rsid w:val="009A1995"/>
    <w:rsid w:val="009A1B7F"/>
    <w:rsid w:val="009A2428"/>
    <w:rsid w:val="009A2473"/>
    <w:rsid w:val="009A27F0"/>
    <w:rsid w:val="009A498F"/>
    <w:rsid w:val="009A4D61"/>
    <w:rsid w:val="009A4E01"/>
    <w:rsid w:val="009A6563"/>
    <w:rsid w:val="009A6A14"/>
    <w:rsid w:val="009A6AA5"/>
    <w:rsid w:val="009A6B7D"/>
    <w:rsid w:val="009A7E13"/>
    <w:rsid w:val="009B0C68"/>
    <w:rsid w:val="009B0D86"/>
    <w:rsid w:val="009B12E4"/>
    <w:rsid w:val="009B19C5"/>
    <w:rsid w:val="009B27ED"/>
    <w:rsid w:val="009B2BE7"/>
    <w:rsid w:val="009B2C49"/>
    <w:rsid w:val="009B2FD3"/>
    <w:rsid w:val="009B303C"/>
    <w:rsid w:val="009B3451"/>
    <w:rsid w:val="009B4053"/>
    <w:rsid w:val="009B4782"/>
    <w:rsid w:val="009B5C3D"/>
    <w:rsid w:val="009B61E3"/>
    <w:rsid w:val="009B7D53"/>
    <w:rsid w:val="009C092B"/>
    <w:rsid w:val="009C0D02"/>
    <w:rsid w:val="009C0D14"/>
    <w:rsid w:val="009C12AD"/>
    <w:rsid w:val="009C1544"/>
    <w:rsid w:val="009C17CF"/>
    <w:rsid w:val="009C1C61"/>
    <w:rsid w:val="009C283D"/>
    <w:rsid w:val="009C3530"/>
    <w:rsid w:val="009C4344"/>
    <w:rsid w:val="009C440F"/>
    <w:rsid w:val="009C45E2"/>
    <w:rsid w:val="009C4DBD"/>
    <w:rsid w:val="009C5054"/>
    <w:rsid w:val="009C522E"/>
    <w:rsid w:val="009C5BC8"/>
    <w:rsid w:val="009C6658"/>
    <w:rsid w:val="009C690A"/>
    <w:rsid w:val="009C78E4"/>
    <w:rsid w:val="009D0BF1"/>
    <w:rsid w:val="009D136A"/>
    <w:rsid w:val="009D1C30"/>
    <w:rsid w:val="009D1ED6"/>
    <w:rsid w:val="009D30AC"/>
    <w:rsid w:val="009D5419"/>
    <w:rsid w:val="009D5C31"/>
    <w:rsid w:val="009D6EE0"/>
    <w:rsid w:val="009E0C9D"/>
    <w:rsid w:val="009E120A"/>
    <w:rsid w:val="009E1AD0"/>
    <w:rsid w:val="009E324E"/>
    <w:rsid w:val="009E370A"/>
    <w:rsid w:val="009E3909"/>
    <w:rsid w:val="009E3A90"/>
    <w:rsid w:val="009E436C"/>
    <w:rsid w:val="009E4394"/>
    <w:rsid w:val="009E4865"/>
    <w:rsid w:val="009E5330"/>
    <w:rsid w:val="009E53B8"/>
    <w:rsid w:val="009E54F8"/>
    <w:rsid w:val="009E68FE"/>
    <w:rsid w:val="009E6D86"/>
    <w:rsid w:val="009F399B"/>
    <w:rsid w:val="009F3C45"/>
    <w:rsid w:val="009F4CE6"/>
    <w:rsid w:val="009F5458"/>
    <w:rsid w:val="009F6C74"/>
    <w:rsid w:val="009F6D5D"/>
    <w:rsid w:val="00A0000D"/>
    <w:rsid w:val="00A0076C"/>
    <w:rsid w:val="00A00C6E"/>
    <w:rsid w:val="00A03DA1"/>
    <w:rsid w:val="00A0414B"/>
    <w:rsid w:val="00A07635"/>
    <w:rsid w:val="00A1058B"/>
    <w:rsid w:val="00A10D9C"/>
    <w:rsid w:val="00A117C3"/>
    <w:rsid w:val="00A119D8"/>
    <w:rsid w:val="00A11A54"/>
    <w:rsid w:val="00A12A12"/>
    <w:rsid w:val="00A12B4B"/>
    <w:rsid w:val="00A1461F"/>
    <w:rsid w:val="00A1685B"/>
    <w:rsid w:val="00A20AC2"/>
    <w:rsid w:val="00A20D13"/>
    <w:rsid w:val="00A2121C"/>
    <w:rsid w:val="00A21472"/>
    <w:rsid w:val="00A222AF"/>
    <w:rsid w:val="00A225D1"/>
    <w:rsid w:val="00A23BE4"/>
    <w:rsid w:val="00A23C33"/>
    <w:rsid w:val="00A25286"/>
    <w:rsid w:val="00A25538"/>
    <w:rsid w:val="00A258FE"/>
    <w:rsid w:val="00A26380"/>
    <w:rsid w:val="00A265AF"/>
    <w:rsid w:val="00A26D1E"/>
    <w:rsid w:val="00A271DD"/>
    <w:rsid w:val="00A307DF"/>
    <w:rsid w:val="00A30819"/>
    <w:rsid w:val="00A315C2"/>
    <w:rsid w:val="00A32286"/>
    <w:rsid w:val="00A32560"/>
    <w:rsid w:val="00A3547D"/>
    <w:rsid w:val="00A356AC"/>
    <w:rsid w:val="00A357F1"/>
    <w:rsid w:val="00A35E52"/>
    <w:rsid w:val="00A36363"/>
    <w:rsid w:val="00A363EE"/>
    <w:rsid w:val="00A36FC0"/>
    <w:rsid w:val="00A370EB"/>
    <w:rsid w:val="00A37740"/>
    <w:rsid w:val="00A4110F"/>
    <w:rsid w:val="00A4183B"/>
    <w:rsid w:val="00A42644"/>
    <w:rsid w:val="00A42A82"/>
    <w:rsid w:val="00A43199"/>
    <w:rsid w:val="00A43AC9"/>
    <w:rsid w:val="00A44517"/>
    <w:rsid w:val="00A44B0A"/>
    <w:rsid w:val="00A462BF"/>
    <w:rsid w:val="00A503F5"/>
    <w:rsid w:val="00A51B1D"/>
    <w:rsid w:val="00A52119"/>
    <w:rsid w:val="00A54B2F"/>
    <w:rsid w:val="00A5501B"/>
    <w:rsid w:val="00A561C9"/>
    <w:rsid w:val="00A56B32"/>
    <w:rsid w:val="00A57872"/>
    <w:rsid w:val="00A603FA"/>
    <w:rsid w:val="00A60AB9"/>
    <w:rsid w:val="00A614DA"/>
    <w:rsid w:val="00A61777"/>
    <w:rsid w:val="00A61885"/>
    <w:rsid w:val="00A627AC"/>
    <w:rsid w:val="00A66C4F"/>
    <w:rsid w:val="00A67AD9"/>
    <w:rsid w:val="00A702F0"/>
    <w:rsid w:val="00A70979"/>
    <w:rsid w:val="00A714E3"/>
    <w:rsid w:val="00A72E7B"/>
    <w:rsid w:val="00A7415D"/>
    <w:rsid w:val="00A741BE"/>
    <w:rsid w:val="00A747AD"/>
    <w:rsid w:val="00A75874"/>
    <w:rsid w:val="00A75B91"/>
    <w:rsid w:val="00A75CE5"/>
    <w:rsid w:val="00A76AFE"/>
    <w:rsid w:val="00A76E69"/>
    <w:rsid w:val="00A77396"/>
    <w:rsid w:val="00A80039"/>
    <w:rsid w:val="00A80E1E"/>
    <w:rsid w:val="00A810F5"/>
    <w:rsid w:val="00A81F9B"/>
    <w:rsid w:val="00A82BFB"/>
    <w:rsid w:val="00A82DDB"/>
    <w:rsid w:val="00A83208"/>
    <w:rsid w:val="00A832F1"/>
    <w:rsid w:val="00A83AD5"/>
    <w:rsid w:val="00A83E57"/>
    <w:rsid w:val="00A83F53"/>
    <w:rsid w:val="00A8447F"/>
    <w:rsid w:val="00A84E6B"/>
    <w:rsid w:val="00A851D8"/>
    <w:rsid w:val="00A86081"/>
    <w:rsid w:val="00A90FD5"/>
    <w:rsid w:val="00A914F6"/>
    <w:rsid w:val="00A9296D"/>
    <w:rsid w:val="00A94F9F"/>
    <w:rsid w:val="00A957CD"/>
    <w:rsid w:val="00A96F2C"/>
    <w:rsid w:val="00A97134"/>
    <w:rsid w:val="00A97D21"/>
    <w:rsid w:val="00AA076E"/>
    <w:rsid w:val="00AA08DB"/>
    <w:rsid w:val="00AA1D87"/>
    <w:rsid w:val="00AA1EF3"/>
    <w:rsid w:val="00AA2072"/>
    <w:rsid w:val="00AA212D"/>
    <w:rsid w:val="00AA2DFC"/>
    <w:rsid w:val="00AA2E89"/>
    <w:rsid w:val="00AA2ECA"/>
    <w:rsid w:val="00AA3E5A"/>
    <w:rsid w:val="00AA4397"/>
    <w:rsid w:val="00AA4BF1"/>
    <w:rsid w:val="00AA4FB2"/>
    <w:rsid w:val="00AA5E3B"/>
    <w:rsid w:val="00AA664F"/>
    <w:rsid w:val="00AA7221"/>
    <w:rsid w:val="00AB057C"/>
    <w:rsid w:val="00AB0D66"/>
    <w:rsid w:val="00AB244F"/>
    <w:rsid w:val="00AB2504"/>
    <w:rsid w:val="00AB2638"/>
    <w:rsid w:val="00AB2E49"/>
    <w:rsid w:val="00AB31D3"/>
    <w:rsid w:val="00AB34D2"/>
    <w:rsid w:val="00AB40A3"/>
    <w:rsid w:val="00AB4D15"/>
    <w:rsid w:val="00AB63E8"/>
    <w:rsid w:val="00AB6435"/>
    <w:rsid w:val="00AB7DB6"/>
    <w:rsid w:val="00AC019B"/>
    <w:rsid w:val="00AC13C2"/>
    <w:rsid w:val="00AC1D4E"/>
    <w:rsid w:val="00AC2D5F"/>
    <w:rsid w:val="00AC42E1"/>
    <w:rsid w:val="00AC4413"/>
    <w:rsid w:val="00AC4854"/>
    <w:rsid w:val="00AC4A20"/>
    <w:rsid w:val="00AC4F67"/>
    <w:rsid w:val="00AC5277"/>
    <w:rsid w:val="00AC5BD9"/>
    <w:rsid w:val="00AD100B"/>
    <w:rsid w:val="00AD130A"/>
    <w:rsid w:val="00AD1B98"/>
    <w:rsid w:val="00AD1E9F"/>
    <w:rsid w:val="00AD27C1"/>
    <w:rsid w:val="00AD2B55"/>
    <w:rsid w:val="00AD2D72"/>
    <w:rsid w:val="00AD533B"/>
    <w:rsid w:val="00AD5B9E"/>
    <w:rsid w:val="00AD67A2"/>
    <w:rsid w:val="00AD6B2E"/>
    <w:rsid w:val="00AD6F02"/>
    <w:rsid w:val="00AD7DC3"/>
    <w:rsid w:val="00AE1749"/>
    <w:rsid w:val="00AE1CB0"/>
    <w:rsid w:val="00AE36CE"/>
    <w:rsid w:val="00AE3A6B"/>
    <w:rsid w:val="00AE3F4F"/>
    <w:rsid w:val="00AE4383"/>
    <w:rsid w:val="00AE496D"/>
    <w:rsid w:val="00AE4F84"/>
    <w:rsid w:val="00AE597A"/>
    <w:rsid w:val="00AE75B4"/>
    <w:rsid w:val="00AF170D"/>
    <w:rsid w:val="00AF221E"/>
    <w:rsid w:val="00AF272D"/>
    <w:rsid w:val="00AF29D7"/>
    <w:rsid w:val="00AF2C20"/>
    <w:rsid w:val="00AF2CFB"/>
    <w:rsid w:val="00AF3657"/>
    <w:rsid w:val="00AF3B0D"/>
    <w:rsid w:val="00AF40D4"/>
    <w:rsid w:val="00AF55F8"/>
    <w:rsid w:val="00AF6B1F"/>
    <w:rsid w:val="00AF6B90"/>
    <w:rsid w:val="00B008CC"/>
    <w:rsid w:val="00B01365"/>
    <w:rsid w:val="00B019C7"/>
    <w:rsid w:val="00B01FC1"/>
    <w:rsid w:val="00B022CD"/>
    <w:rsid w:val="00B028F4"/>
    <w:rsid w:val="00B03B21"/>
    <w:rsid w:val="00B0443B"/>
    <w:rsid w:val="00B04981"/>
    <w:rsid w:val="00B04B0B"/>
    <w:rsid w:val="00B0507F"/>
    <w:rsid w:val="00B05F35"/>
    <w:rsid w:val="00B064DF"/>
    <w:rsid w:val="00B07D37"/>
    <w:rsid w:val="00B10578"/>
    <w:rsid w:val="00B1063A"/>
    <w:rsid w:val="00B11231"/>
    <w:rsid w:val="00B11432"/>
    <w:rsid w:val="00B117EC"/>
    <w:rsid w:val="00B119F8"/>
    <w:rsid w:val="00B1231B"/>
    <w:rsid w:val="00B12542"/>
    <w:rsid w:val="00B1318F"/>
    <w:rsid w:val="00B13CD9"/>
    <w:rsid w:val="00B14B88"/>
    <w:rsid w:val="00B14C28"/>
    <w:rsid w:val="00B15462"/>
    <w:rsid w:val="00B163BD"/>
    <w:rsid w:val="00B16AF0"/>
    <w:rsid w:val="00B23CC7"/>
    <w:rsid w:val="00B247B5"/>
    <w:rsid w:val="00B26DE3"/>
    <w:rsid w:val="00B3063B"/>
    <w:rsid w:val="00B31657"/>
    <w:rsid w:val="00B31DF6"/>
    <w:rsid w:val="00B329C4"/>
    <w:rsid w:val="00B32B5E"/>
    <w:rsid w:val="00B32FE0"/>
    <w:rsid w:val="00B33675"/>
    <w:rsid w:val="00B33698"/>
    <w:rsid w:val="00B34185"/>
    <w:rsid w:val="00B3453F"/>
    <w:rsid w:val="00B34890"/>
    <w:rsid w:val="00B35298"/>
    <w:rsid w:val="00B35516"/>
    <w:rsid w:val="00B35C3A"/>
    <w:rsid w:val="00B367FD"/>
    <w:rsid w:val="00B368B9"/>
    <w:rsid w:val="00B37A8A"/>
    <w:rsid w:val="00B37CA9"/>
    <w:rsid w:val="00B4256E"/>
    <w:rsid w:val="00B42CB7"/>
    <w:rsid w:val="00B435B5"/>
    <w:rsid w:val="00B43827"/>
    <w:rsid w:val="00B43A8C"/>
    <w:rsid w:val="00B44015"/>
    <w:rsid w:val="00B445B5"/>
    <w:rsid w:val="00B4514A"/>
    <w:rsid w:val="00B457E6"/>
    <w:rsid w:val="00B4583C"/>
    <w:rsid w:val="00B45E85"/>
    <w:rsid w:val="00B4648D"/>
    <w:rsid w:val="00B474F8"/>
    <w:rsid w:val="00B479DC"/>
    <w:rsid w:val="00B510F6"/>
    <w:rsid w:val="00B547B0"/>
    <w:rsid w:val="00B55C16"/>
    <w:rsid w:val="00B564B1"/>
    <w:rsid w:val="00B564B6"/>
    <w:rsid w:val="00B574AC"/>
    <w:rsid w:val="00B575EE"/>
    <w:rsid w:val="00B60060"/>
    <w:rsid w:val="00B60332"/>
    <w:rsid w:val="00B60618"/>
    <w:rsid w:val="00B60E3C"/>
    <w:rsid w:val="00B61BB4"/>
    <w:rsid w:val="00B621DC"/>
    <w:rsid w:val="00B62E62"/>
    <w:rsid w:val="00B63830"/>
    <w:rsid w:val="00B651B9"/>
    <w:rsid w:val="00B66905"/>
    <w:rsid w:val="00B66CD4"/>
    <w:rsid w:val="00B66E51"/>
    <w:rsid w:val="00B70BDB"/>
    <w:rsid w:val="00B7143D"/>
    <w:rsid w:val="00B71922"/>
    <w:rsid w:val="00B71A98"/>
    <w:rsid w:val="00B7376A"/>
    <w:rsid w:val="00B743E9"/>
    <w:rsid w:val="00B801E5"/>
    <w:rsid w:val="00B81F0E"/>
    <w:rsid w:val="00B82BFE"/>
    <w:rsid w:val="00B83551"/>
    <w:rsid w:val="00B84A3B"/>
    <w:rsid w:val="00B84D4F"/>
    <w:rsid w:val="00B8611A"/>
    <w:rsid w:val="00B867A0"/>
    <w:rsid w:val="00B8728C"/>
    <w:rsid w:val="00B915EE"/>
    <w:rsid w:val="00B91FE6"/>
    <w:rsid w:val="00B927A9"/>
    <w:rsid w:val="00B93A3D"/>
    <w:rsid w:val="00B944C0"/>
    <w:rsid w:val="00B95568"/>
    <w:rsid w:val="00B955BA"/>
    <w:rsid w:val="00B955C6"/>
    <w:rsid w:val="00B963AC"/>
    <w:rsid w:val="00B97162"/>
    <w:rsid w:val="00B971AD"/>
    <w:rsid w:val="00B97339"/>
    <w:rsid w:val="00B97458"/>
    <w:rsid w:val="00BA0223"/>
    <w:rsid w:val="00BA0224"/>
    <w:rsid w:val="00BA0886"/>
    <w:rsid w:val="00BA139E"/>
    <w:rsid w:val="00BA175C"/>
    <w:rsid w:val="00BA2C61"/>
    <w:rsid w:val="00BA2CFE"/>
    <w:rsid w:val="00BA46D3"/>
    <w:rsid w:val="00BA549E"/>
    <w:rsid w:val="00BA6490"/>
    <w:rsid w:val="00BA64BC"/>
    <w:rsid w:val="00BA6543"/>
    <w:rsid w:val="00BA684F"/>
    <w:rsid w:val="00BA70B0"/>
    <w:rsid w:val="00BA7504"/>
    <w:rsid w:val="00BA7A9E"/>
    <w:rsid w:val="00BB04C6"/>
    <w:rsid w:val="00BB0EAB"/>
    <w:rsid w:val="00BB0FE8"/>
    <w:rsid w:val="00BB32C9"/>
    <w:rsid w:val="00BB4937"/>
    <w:rsid w:val="00BB5C45"/>
    <w:rsid w:val="00BB6138"/>
    <w:rsid w:val="00BB6DC5"/>
    <w:rsid w:val="00BB708E"/>
    <w:rsid w:val="00BB78EF"/>
    <w:rsid w:val="00BC010F"/>
    <w:rsid w:val="00BC05ED"/>
    <w:rsid w:val="00BC0D6C"/>
    <w:rsid w:val="00BC2C2B"/>
    <w:rsid w:val="00BC3201"/>
    <w:rsid w:val="00BC48AF"/>
    <w:rsid w:val="00BC4E5F"/>
    <w:rsid w:val="00BC587A"/>
    <w:rsid w:val="00BC6976"/>
    <w:rsid w:val="00BC6E72"/>
    <w:rsid w:val="00BC7034"/>
    <w:rsid w:val="00BC7470"/>
    <w:rsid w:val="00BD1639"/>
    <w:rsid w:val="00BD1CEC"/>
    <w:rsid w:val="00BD1E4A"/>
    <w:rsid w:val="00BD2203"/>
    <w:rsid w:val="00BD3D7A"/>
    <w:rsid w:val="00BE0033"/>
    <w:rsid w:val="00BE26AF"/>
    <w:rsid w:val="00BE33AE"/>
    <w:rsid w:val="00BE37FA"/>
    <w:rsid w:val="00BE383F"/>
    <w:rsid w:val="00BE4C32"/>
    <w:rsid w:val="00BE4DC1"/>
    <w:rsid w:val="00BE64B8"/>
    <w:rsid w:val="00BE6646"/>
    <w:rsid w:val="00BE67F2"/>
    <w:rsid w:val="00BE7CE2"/>
    <w:rsid w:val="00BF02B7"/>
    <w:rsid w:val="00BF0A80"/>
    <w:rsid w:val="00BF133B"/>
    <w:rsid w:val="00BF251F"/>
    <w:rsid w:val="00BF2CB7"/>
    <w:rsid w:val="00BF3E76"/>
    <w:rsid w:val="00BF4806"/>
    <w:rsid w:val="00BF4F88"/>
    <w:rsid w:val="00BF5048"/>
    <w:rsid w:val="00BF57A8"/>
    <w:rsid w:val="00BF63C1"/>
    <w:rsid w:val="00BF66F5"/>
    <w:rsid w:val="00BF68C9"/>
    <w:rsid w:val="00BF6F78"/>
    <w:rsid w:val="00BF7C01"/>
    <w:rsid w:val="00BF7DA4"/>
    <w:rsid w:val="00C01365"/>
    <w:rsid w:val="00C025A4"/>
    <w:rsid w:val="00C02C54"/>
    <w:rsid w:val="00C03C56"/>
    <w:rsid w:val="00C05445"/>
    <w:rsid w:val="00C05C0D"/>
    <w:rsid w:val="00C05F49"/>
    <w:rsid w:val="00C06D80"/>
    <w:rsid w:val="00C07926"/>
    <w:rsid w:val="00C10004"/>
    <w:rsid w:val="00C10544"/>
    <w:rsid w:val="00C1120F"/>
    <w:rsid w:val="00C11C09"/>
    <w:rsid w:val="00C12733"/>
    <w:rsid w:val="00C12A5F"/>
    <w:rsid w:val="00C13DB0"/>
    <w:rsid w:val="00C14DFE"/>
    <w:rsid w:val="00C155F9"/>
    <w:rsid w:val="00C157EC"/>
    <w:rsid w:val="00C15F77"/>
    <w:rsid w:val="00C16111"/>
    <w:rsid w:val="00C17953"/>
    <w:rsid w:val="00C20D64"/>
    <w:rsid w:val="00C211F1"/>
    <w:rsid w:val="00C22363"/>
    <w:rsid w:val="00C22F7D"/>
    <w:rsid w:val="00C2309D"/>
    <w:rsid w:val="00C23A5F"/>
    <w:rsid w:val="00C23AFC"/>
    <w:rsid w:val="00C23DA4"/>
    <w:rsid w:val="00C2433C"/>
    <w:rsid w:val="00C252A8"/>
    <w:rsid w:val="00C25AB4"/>
    <w:rsid w:val="00C25FA4"/>
    <w:rsid w:val="00C25FEB"/>
    <w:rsid w:val="00C26847"/>
    <w:rsid w:val="00C26B9F"/>
    <w:rsid w:val="00C270CA"/>
    <w:rsid w:val="00C304C2"/>
    <w:rsid w:val="00C30BDB"/>
    <w:rsid w:val="00C30D3E"/>
    <w:rsid w:val="00C314C2"/>
    <w:rsid w:val="00C31C38"/>
    <w:rsid w:val="00C31D6C"/>
    <w:rsid w:val="00C31D74"/>
    <w:rsid w:val="00C31FF4"/>
    <w:rsid w:val="00C3280E"/>
    <w:rsid w:val="00C33335"/>
    <w:rsid w:val="00C333AB"/>
    <w:rsid w:val="00C3492D"/>
    <w:rsid w:val="00C34BFD"/>
    <w:rsid w:val="00C35440"/>
    <w:rsid w:val="00C36A16"/>
    <w:rsid w:val="00C377D2"/>
    <w:rsid w:val="00C37845"/>
    <w:rsid w:val="00C4078B"/>
    <w:rsid w:val="00C41179"/>
    <w:rsid w:val="00C414B5"/>
    <w:rsid w:val="00C417D0"/>
    <w:rsid w:val="00C419AD"/>
    <w:rsid w:val="00C41B68"/>
    <w:rsid w:val="00C42950"/>
    <w:rsid w:val="00C442AE"/>
    <w:rsid w:val="00C45474"/>
    <w:rsid w:val="00C456A3"/>
    <w:rsid w:val="00C472A2"/>
    <w:rsid w:val="00C501D7"/>
    <w:rsid w:val="00C506E5"/>
    <w:rsid w:val="00C50BA9"/>
    <w:rsid w:val="00C50D4B"/>
    <w:rsid w:val="00C51B16"/>
    <w:rsid w:val="00C52A49"/>
    <w:rsid w:val="00C52FA8"/>
    <w:rsid w:val="00C532C8"/>
    <w:rsid w:val="00C541E5"/>
    <w:rsid w:val="00C54AA8"/>
    <w:rsid w:val="00C55671"/>
    <w:rsid w:val="00C557AB"/>
    <w:rsid w:val="00C557DE"/>
    <w:rsid w:val="00C577BF"/>
    <w:rsid w:val="00C57A66"/>
    <w:rsid w:val="00C57FAD"/>
    <w:rsid w:val="00C603C3"/>
    <w:rsid w:val="00C60938"/>
    <w:rsid w:val="00C611BA"/>
    <w:rsid w:val="00C61CE7"/>
    <w:rsid w:val="00C61F66"/>
    <w:rsid w:val="00C62C2A"/>
    <w:rsid w:val="00C63EC7"/>
    <w:rsid w:val="00C63F6F"/>
    <w:rsid w:val="00C64532"/>
    <w:rsid w:val="00C647E0"/>
    <w:rsid w:val="00C648C6"/>
    <w:rsid w:val="00C64E93"/>
    <w:rsid w:val="00C67587"/>
    <w:rsid w:val="00C675CD"/>
    <w:rsid w:val="00C70879"/>
    <w:rsid w:val="00C70C0D"/>
    <w:rsid w:val="00C7196E"/>
    <w:rsid w:val="00C73E84"/>
    <w:rsid w:val="00C746A7"/>
    <w:rsid w:val="00C751A8"/>
    <w:rsid w:val="00C761FD"/>
    <w:rsid w:val="00C76673"/>
    <w:rsid w:val="00C76D48"/>
    <w:rsid w:val="00C809B0"/>
    <w:rsid w:val="00C81C10"/>
    <w:rsid w:val="00C8462F"/>
    <w:rsid w:val="00C8627A"/>
    <w:rsid w:val="00C86A47"/>
    <w:rsid w:val="00C87135"/>
    <w:rsid w:val="00C87830"/>
    <w:rsid w:val="00C87A29"/>
    <w:rsid w:val="00C9032C"/>
    <w:rsid w:val="00C90487"/>
    <w:rsid w:val="00C90EF5"/>
    <w:rsid w:val="00C91019"/>
    <w:rsid w:val="00C912D5"/>
    <w:rsid w:val="00C9328B"/>
    <w:rsid w:val="00C935C1"/>
    <w:rsid w:val="00C939A7"/>
    <w:rsid w:val="00C94DD9"/>
    <w:rsid w:val="00C94F8E"/>
    <w:rsid w:val="00C96CC6"/>
    <w:rsid w:val="00CA0326"/>
    <w:rsid w:val="00CA1067"/>
    <w:rsid w:val="00CA2DE1"/>
    <w:rsid w:val="00CA3F65"/>
    <w:rsid w:val="00CA47B4"/>
    <w:rsid w:val="00CA4FE3"/>
    <w:rsid w:val="00CA6D7C"/>
    <w:rsid w:val="00CA7331"/>
    <w:rsid w:val="00CA78CF"/>
    <w:rsid w:val="00CB01BC"/>
    <w:rsid w:val="00CB0B3C"/>
    <w:rsid w:val="00CB13E6"/>
    <w:rsid w:val="00CB2974"/>
    <w:rsid w:val="00CB3671"/>
    <w:rsid w:val="00CB4CFA"/>
    <w:rsid w:val="00CB4DD1"/>
    <w:rsid w:val="00CB584A"/>
    <w:rsid w:val="00CB6483"/>
    <w:rsid w:val="00CB6492"/>
    <w:rsid w:val="00CB7028"/>
    <w:rsid w:val="00CC1DD3"/>
    <w:rsid w:val="00CC1E4E"/>
    <w:rsid w:val="00CC22BE"/>
    <w:rsid w:val="00CC24D5"/>
    <w:rsid w:val="00CC25E3"/>
    <w:rsid w:val="00CC2921"/>
    <w:rsid w:val="00CC298C"/>
    <w:rsid w:val="00CC2C6B"/>
    <w:rsid w:val="00CC2E19"/>
    <w:rsid w:val="00CC3603"/>
    <w:rsid w:val="00CC3A26"/>
    <w:rsid w:val="00CC45F3"/>
    <w:rsid w:val="00CC4BF4"/>
    <w:rsid w:val="00CC4D4B"/>
    <w:rsid w:val="00CC618B"/>
    <w:rsid w:val="00CC73E0"/>
    <w:rsid w:val="00CD0474"/>
    <w:rsid w:val="00CD19AB"/>
    <w:rsid w:val="00CD2A1C"/>
    <w:rsid w:val="00CD2AA9"/>
    <w:rsid w:val="00CD2EDA"/>
    <w:rsid w:val="00CD3C6C"/>
    <w:rsid w:val="00CD4879"/>
    <w:rsid w:val="00CD7193"/>
    <w:rsid w:val="00CE1213"/>
    <w:rsid w:val="00CE14CB"/>
    <w:rsid w:val="00CE16ED"/>
    <w:rsid w:val="00CE172B"/>
    <w:rsid w:val="00CE2F01"/>
    <w:rsid w:val="00CE3502"/>
    <w:rsid w:val="00CE3E4D"/>
    <w:rsid w:val="00CE4887"/>
    <w:rsid w:val="00CE59DF"/>
    <w:rsid w:val="00CE5A74"/>
    <w:rsid w:val="00CE6186"/>
    <w:rsid w:val="00CE6BDF"/>
    <w:rsid w:val="00CE6DBA"/>
    <w:rsid w:val="00CE6EF2"/>
    <w:rsid w:val="00CE71AA"/>
    <w:rsid w:val="00CF0A7A"/>
    <w:rsid w:val="00CF0C79"/>
    <w:rsid w:val="00CF1E8C"/>
    <w:rsid w:val="00CF1F33"/>
    <w:rsid w:val="00CF230B"/>
    <w:rsid w:val="00CF2B7F"/>
    <w:rsid w:val="00CF2D88"/>
    <w:rsid w:val="00CF341D"/>
    <w:rsid w:val="00CF43D1"/>
    <w:rsid w:val="00CF79F3"/>
    <w:rsid w:val="00CF7FF6"/>
    <w:rsid w:val="00D000FC"/>
    <w:rsid w:val="00D000FF"/>
    <w:rsid w:val="00D01DC2"/>
    <w:rsid w:val="00D03766"/>
    <w:rsid w:val="00D03B6F"/>
    <w:rsid w:val="00D05BC2"/>
    <w:rsid w:val="00D077C8"/>
    <w:rsid w:val="00D1035C"/>
    <w:rsid w:val="00D11758"/>
    <w:rsid w:val="00D1201E"/>
    <w:rsid w:val="00D128A0"/>
    <w:rsid w:val="00D129D8"/>
    <w:rsid w:val="00D12BA5"/>
    <w:rsid w:val="00D14D08"/>
    <w:rsid w:val="00D157D1"/>
    <w:rsid w:val="00D15B01"/>
    <w:rsid w:val="00D16374"/>
    <w:rsid w:val="00D17719"/>
    <w:rsid w:val="00D207FC"/>
    <w:rsid w:val="00D20ABC"/>
    <w:rsid w:val="00D20FCF"/>
    <w:rsid w:val="00D21379"/>
    <w:rsid w:val="00D21409"/>
    <w:rsid w:val="00D218DD"/>
    <w:rsid w:val="00D21A6C"/>
    <w:rsid w:val="00D220A4"/>
    <w:rsid w:val="00D2238A"/>
    <w:rsid w:val="00D24C13"/>
    <w:rsid w:val="00D24F81"/>
    <w:rsid w:val="00D25693"/>
    <w:rsid w:val="00D308AA"/>
    <w:rsid w:val="00D3198C"/>
    <w:rsid w:val="00D31EF1"/>
    <w:rsid w:val="00D327F1"/>
    <w:rsid w:val="00D32DFB"/>
    <w:rsid w:val="00D331F7"/>
    <w:rsid w:val="00D33BD9"/>
    <w:rsid w:val="00D33EE4"/>
    <w:rsid w:val="00D34A36"/>
    <w:rsid w:val="00D35DEF"/>
    <w:rsid w:val="00D37DA7"/>
    <w:rsid w:val="00D42B42"/>
    <w:rsid w:val="00D439B6"/>
    <w:rsid w:val="00D4488B"/>
    <w:rsid w:val="00D44CF6"/>
    <w:rsid w:val="00D473F7"/>
    <w:rsid w:val="00D47793"/>
    <w:rsid w:val="00D51818"/>
    <w:rsid w:val="00D51E33"/>
    <w:rsid w:val="00D52A4A"/>
    <w:rsid w:val="00D545F7"/>
    <w:rsid w:val="00D55296"/>
    <w:rsid w:val="00D55B3C"/>
    <w:rsid w:val="00D56507"/>
    <w:rsid w:val="00D56B11"/>
    <w:rsid w:val="00D5749D"/>
    <w:rsid w:val="00D57DC5"/>
    <w:rsid w:val="00D604D6"/>
    <w:rsid w:val="00D60FAA"/>
    <w:rsid w:val="00D61912"/>
    <w:rsid w:val="00D61BC0"/>
    <w:rsid w:val="00D629C7"/>
    <w:rsid w:val="00D6387B"/>
    <w:rsid w:val="00D64E0B"/>
    <w:rsid w:val="00D65087"/>
    <w:rsid w:val="00D65334"/>
    <w:rsid w:val="00D65528"/>
    <w:rsid w:val="00D65864"/>
    <w:rsid w:val="00D66100"/>
    <w:rsid w:val="00D66592"/>
    <w:rsid w:val="00D66AF2"/>
    <w:rsid w:val="00D66EBC"/>
    <w:rsid w:val="00D67195"/>
    <w:rsid w:val="00D7039E"/>
    <w:rsid w:val="00D710FE"/>
    <w:rsid w:val="00D71E24"/>
    <w:rsid w:val="00D721EE"/>
    <w:rsid w:val="00D7340F"/>
    <w:rsid w:val="00D75599"/>
    <w:rsid w:val="00D765F9"/>
    <w:rsid w:val="00D76800"/>
    <w:rsid w:val="00D768A8"/>
    <w:rsid w:val="00D773A7"/>
    <w:rsid w:val="00D77A07"/>
    <w:rsid w:val="00D80559"/>
    <w:rsid w:val="00D808E3"/>
    <w:rsid w:val="00D81160"/>
    <w:rsid w:val="00D82399"/>
    <w:rsid w:val="00D824E7"/>
    <w:rsid w:val="00D8407C"/>
    <w:rsid w:val="00D844C5"/>
    <w:rsid w:val="00D84B30"/>
    <w:rsid w:val="00D84EED"/>
    <w:rsid w:val="00D8505F"/>
    <w:rsid w:val="00D851CA"/>
    <w:rsid w:val="00D8570D"/>
    <w:rsid w:val="00D85D48"/>
    <w:rsid w:val="00D863E0"/>
    <w:rsid w:val="00D866E0"/>
    <w:rsid w:val="00D867B1"/>
    <w:rsid w:val="00D86A54"/>
    <w:rsid w:val="00D86CB2"/>
    <w:rsid w:val="00D871F9"/>
    <w:rsid w:val="00D875B7"/>
    <w:rsid w:val="00D91C93"/>
    <w:rsid w:val="00D92988"/>
    <w:rsid w:val="00D92BD4"/>
    <w:rsid w:val="00D92E57"/>
    <w:rsid w:val="00D93340"/>
    <w:rsid w:val="00D93E59"/>
    <w:rsid w:val="00D94902"/>
    <w:rsid w:val="00D94F8D"/>
    <w:rsid w:val="00D959A0"/>
    <w:rsid w:val="00D95F09"/>
    <w:rsid w:val="00D97EA4"/>
    <w:rsid w:val="00DA03AE"/>
    <w:rsid w:val="00DA0B51"/>
    <w:rsid w:val="00DA1207"/>
    <w:rsid w:val="00DA17CE"/>
    <w:rsid w:val="00DA2C1E"/>
    <w:rsid w:val="00DA2E1A"/>
    <w:rsid w:val="00DA3C34"/>
    <w:rsid w:val="00DA3D1A"/>
    <w:rsid w:val="00DA4115"/>
    <w:rsid w:val="00DA4F24"/>
    <w:rsid w:val="00DA5659"/>
    <w:rsid w:val="00DA5A10"/>
    <w:rsid w:val="00DA6C3E"/>
    <w:rsid w:val="00DA74F2"/>
    <w:rsid w:val="00DB0131"/>
    <w:rsid w:val="00DB052A"/>
    <w:rsid w:val="00DB09C5"/>
    <w:rsid w:val="00DB2527"/>
    <w:rsid w:val="00DB2B0A"/>
    <w:rsid w:val="00DB2DC7"/>
    <w:rsid w:val="00DB34EC"/>
    <w:rsid w:val="00DB7F9B"/>
    <w:rsid w:val="00DC064B"/>
    <w:rsid w:val="00DC089F"/>
    <w:rsid w:val="00DC0C58"/>
    <w:rsid w:val="00DC149D"/>
    <w:rsid w:val="00DC18C7"/>
    <w:rsid w:val="00DC3442"/>
    <w:rsid w:val="00DC3B8B"/>
    <w:rsid w:val="00DC4134"/>
    <w:rsid w:val="00DC46F6"/>
    <w:rsid w:val="00DC5084"/>
    <w:rsid w:val="00DC60C5"/>
    <w:rsid w:val="00DC644D"/>
    <w:rsid w:val="00DC766A"/>
    <w:rsid w:val="00DC78D4"/>
    <w:rsid w:val="00DD024A"/>
    <w:rsid w:val="00DD14FB"/>
    <w:rsid w:val="00DD177E"/>
    <w:rsid w:val="00DD2047"/>
    <w:rsid w:val="00DD218E"/>
    <w:rsid w:val="00DD3267"/>
    <w:rsid w:val="00DD52FF"/>
    <w:rsid w:val="00DD57DD"/>
    <w:rsid w:val="00DD582D"/>
    <w:rsid w:val="00DD668F"/>
    <w:rsid w:val="00DE176D"/>
    <w:rsid w:val="00DE2132"/>
    <w:rsid w:val="00DE226B"/>
    <w:rsid w:val="00DE2E28"/>
    <w:rsid w:val="00DE410F"/>
    <w:rsid w:val="00DE42A7"/>
    <w:rsid w:val="00DE5116"/>
    <w:rsid w:val="00DE52DF"/>
    <w:rsid w:val="00DE5318"/>
    <w:rsid w:val="00DE5682"/>
    <w:rsid w:val="00DE5974"/>
    <w:rsid w:val="00DE639A"/>
    <w:rsid w:val="00DF0679"/>
    <w:rsid w:val="00DF0E3A"/>
    <w:rsid w:val="00DF3FE7"/>
    <w:rsid w:val="00DF538B"/>
    <w:rsid w:val="00DF60AA"/>
    <w:rsid w:val="00DF6278"/>
    <w:rsid w:val="00DF7620"/>
    <w:rsid w:val="00DF7970"/>
    <w:rsid w:val="00E00A79"/>
    <w:rsid w:val="00E01327"/>
    <w:rsid w:val="00E02F8C"/>
    <w:rsid w:val="00E03268"/>
    <w:rsid w:val="00E0379A"/>
    <w:rsid w:val="00E0404A"/>
    <w:rsid w:val="00E04190"/>
    <w:rsid w:val="00E042B3"/>
    <w:rsid w:val="00E04BA6"/>
    <w:rsid w:val="00E04DF9"/>
    <w:rsid w:val="00E07F6E"/>
    <w:rsid w:val="00E10103"/>
    <w:rsid w:val="00E101E4"/>
    <w:rsid w:val="00E10531"/>
    <w:rsid w:val="00E10725"/>
    <w:rsid w:val="00E10769"/>
    <w:rsid w:val="00E10C21"/>
    <w:rsid w:val="00E11327"/>
    <w:rsid w:val="00E13B0D"/>
    <w:rsid w:val="00E13FAC"/>
    <w:rsid w:val="00E1443F"/>
    <w:rsid w:val="00E14E73"/>
    <w:rsid w:val="00E14F47"/>
    <w:rsid w:val="00E1598B"/>
    <w:rsid w:val="00E15999"/>
    <w:rsid w:val="00E15E27"/>
    <w:rsid w:val="00E16B70"/>
    <w:rsid w:val="00E20CD7"/>
    <w:rsid w:val="00E21615"/>
    <w:rsid w:val="00E22B2A"/>
    <w:rsid w:val="00E22DA1"/>
    <w:rsid w:val="00E23441"/>
    <w:rsid w:val="00E2392A"/>
    <w:rsid w:val="00E26F3B"/>
    <w:rsid w:val="00E3119B"/>
    <w:rsid w:val="00E32166"/>
    <w:rsid w:val="00E324F4"/>
    <w:rsid w:val="00E32917"/>
    <w:rsid w:val="00E33075"/>
    <w:rsid w:val="00E35B5D"/>
    <w:rsid w:val="00E363C9"/>
    <w:rsid w:val="00E364A2"/>
    <w:rsid w:val="00E36A0C"/>
    <w:rsid w:val="00E3736D"/>
    <w:rsid w:val="00E403A8"/>
    <w:rsid w:val="00E40829"/>
    <w:rsid w:val="00E409AD"/>
    <w:rsid w:val="00E409F3"/>
    <w:rsid w:val="00E40F2F"/>
    <w:rsid w:val="00E422BF"/>
    <w:rsid w:val="00E424DC"/>
    <w:rsid w:val="00E42963"/>
    <w:rsid w:val="00E42C6A"/>
    <w:rsid w:val="00E42E59"/>
    <w:rsid w:val="00E45504"/>
    <w:rsid w:val="00E467B5"/>
    <w:rsid w:val="00E46912"/>
    <w:rsid w:val="00E46A9A"/>
    <w:rsid w:val="00E46F27"/>
    <w:rsid w:val="00E5016B"/>
    <w:rsid w:val="00E50FBB"/>
    <w:rsid w:val="00E51738"/>
    <w:rsid w:val="00E51F3D"/>
    <w:rsid w:val="00E52066"/>
    <w:rsid w:val="00E5280E"/>
    <w:rsid w:val="00E52BA6"/>
    <w:rsid w:val="00E5392E"/>
    <w:rsid w:val="00E54203"/>
    <w:rsid w:val="00E5436B"/>
    <w:rsid w:val="00E561F8"/>
    <w:rsid w:val="00E57EBE"/>
    <w:rsid w:val="00E605D5"/>
    <w:rsid w:val="00E60719"/>
    <w:rsid w:val="00E60C76"/>
    <w:rsid w:val="00E60E28"/>
    <w:rsid w:val="00E61C68"/>
    <w:rsid w:val="00E61FF3"/>
    <w:rsid w:val="00E62342"/>
    <w:rsid w:val="00E63A98"/>
    <w:rsid w:val="00E64A27"/>
    <w:rsid w:val="00E64A8D"/>
    <w:rsid w:val="00E65DCD"/>
    <w:rsid w:val="00E664F5"/>
    <w:rsid w:val="00E6734D"/>
    <w:rsid w:val="00E7027F"/>
    <w:rsid w:val="00E70651"/>
    <w:rsid w:val="00E706B6"/>
    <w:rsid w:val="00E70A24"/>
    <w:rsid w:val="00E72026"/>
    <w:rsid w:val="00E726CF"/>
    <w:rsid w:val="00E72719"/>
    <w:rsid w:val="00E7271E"/>
    <w:rsid w:val="00E739BC"/>
    <w:rsid w:val="00E73B89"/>
    <w:rsid w:val="00E752FC"/>
    <w:rsid w:val="00E76608"/>
    <w:rsid w:val="00E768BC"/>
    <w:rsid w:val="00E77066"/>
    <w:rsid w:val="00E770E2"/>
    <w:rsid w:val="00E7716D"/>
    <w:rsid w:val="00E7770F"/>
    <w:rsid w:val="00E80DB0"/>
    <w:rsid w:val="00E81B02"/>
    <w:rsid w:val="00E81C0C"/>
    <w:rsid w:val="00E82497"/>
    <w:rsid w:val="00E83FC7"/>
    <w:rsid w:val="00E879CE"/>
    <w:rsid w:val="00E87A91"/>
    <w:rsid w:val="00E87ACF"/>
    <w:rsid w:val="00E87BD2"/>
    <w:rsid w:val="00E90CD5"/>
    <w:rsid w:val="00E934EE"/>
    <w:rsid w:val="00E94595"/>
    <w:rsid w:val="00E96EF4"/>
    <w:rsid w:val="00E975D5"/>
    <w:rsid w:val="00E97F6D"/>
    <w:rsid w:val="00EA0498"/>
    <w:rsid w:val="00EA05D4"/>
    <w:rsid w:val="00EA10E0"/>
    <w:rsid w:val="00EA1B45"/>
    <w:rsid w:val="00EA1E82"/>
    <w:rsid w:val="00EA25B2"/>
    <w:rsid w:val="00EA2CC6"/>
    <w:rsid w:val="00EA3499"/>
    <w:rsid w:val="00EA3D0E"/>
    <w:rsid w:val="00EA3E84"/>
    <w:rsid w:val="00EA42E6"/>
    <w:rsid w:val="00EA475B"/>
    <w:rsid w:val="00EA5AE1"/>
    <w:rsid w:val="00EA6759"/>
    <w:rsid w:val="00EA6D67"/>
    <w:rsid w:val="00EA7978"/>
    <w:rsid w:val="00EA7D52"/>
    <w:rsid w:val="00EB0155"/>
    <w:rsid w:val="00EB08AF"/>
    <w:rsid w:val="00EB2448"/>
    <w:rsid w:val="00EB3D39"/>
    <w:rsid w:val="00EB4402"/>
    <w:rsid w:val="00EB55D9"/>
    <w:rsid w:val="00EB55DE"/>
    <w:rsid w:val="00EB63AF"/>
    <w:rsid w:val="00EB6423"/>
    <w:rsid w:val="00EC02D9"/>
    <w:rsid w:val="00EC0921"/>
    <w:rsid w:val="00EC1377"/>
    <w:rsid w:val="00EC2224"/>
    <w:rsid w:val="00EC3A0E"/>
    <w:rsid w:val="00EC43F2"/>
    <w:rsid w:val="00EC5E5D"/>
    <w:rsid w:val="00ED0F3F"/>
    <w:rsid w:val="00ED13CE"/>
    <w:rsid w:val="00ED17A9"/>
    <w:rsid w:val="00ED1CAC"/>
    <w:rsid w:val="00ED3908"/>
    <w:rsid w:val="00ED5DA5"/>
    <w:rsid w:val="00ED6980"/>
    <w:rsid w:val="00ED705B"/>
    <w:rsid w:val="00ED76D1"/>
    <w:rsid w:val="00EE0E4A"/>
    <w:rsid w:val="00EE103E"/>
    <w:rsid w:val="00EE10F2"/>
    <w:rsid w:val="00EE1397"/>
    <w:rsid w:val="00EE1A5B"/>
    <w:rsid w:val="00EE26CD"/>
    <w:rsid w:val="00EE2E46"/>
    <w:rsid w:val="00EE30D4"/>
    <w:rsid w:val="00EE349A"/>
    <w:rsid w:val="00EE3939"/>
    <w:rsid w:val="00EE3AA3"/>
    <w:rsid w:val="00EE3E58"/>
    <w:rsid w:val="00EE4F73"/>
    <w:rsid w:val="00EE5676"/>
    <w:rsid w:val="00EE6060"/>
    <w:rsid w:val="00EE60A3"/>
    <w:rsid w:val="00EE66B7"/>
    <w:rsid w:val="00EE6EF1"/>
    <w:rsid w:val="00EE712C"/>
    <w:rsid w:val="00EE7688"/>
    <w:rsid w:val="00EF0696"/>
    <w:rsid w:val="00EF1EDA"/>
    <w:rsid w:val="00EF2041"/>
    <w:rsid w:val="00EF2EDF"/>
    <w:rsid w:val="00EF39CA"/>
    <w:rsid w:val="00EF45DA"/>
    <w:rsid w:val="00EF59E1"/>
    <w:rsid w:val="00EF5F75"/>
    <w:rsid w:val="00EF6BF4"/>
    <w:rsid w:val="00EF6C97"/>
    <w:rsid w:val="00EF7476"/>
    <w:rsid w:val="00F00E55"/>
    <w:rsid w:val="00F013C0"/>
    <w:rsid w:val="00F02376"/>
    <w:rsid w:val="00F059F3"/>
    <w:rsid w:val="00F06133"/>
    <w:rsid w:val="00F069CA"/>
    <w:rsid w:val="00F069FD"/>
    <w:rsid w:val="00F120FA"/>
    <w:rsid w:val="00F121A6"/>
    <w:rsid w:val="00F12478"/>
    <w:rsid w:val="00F13600"/>
    <w:rsid w:val="00F14D3E"/>
    <w:rsid w:val="00F150F9"/>
    <w:rsid w:val="00F15CC9"/>
    <w:rsid w:val="00F16117"/>
    <w:rsid w:val="00F16D70"/>
    <w:rsid w:val="00F17B72"/>
    <w:rsid w:val="00F20656"/>
    <w:rsid w:val="00F21324"/>
    <w:rsid w:val="00F225CA"/>
    <w:rsid w:val="00F2318C"/>
    <w:rsid w:val="00F234ED"/>
    <w:rsid w:val="00F23F21"/>
    <w:rsid w:val="00F25126"/>
    <w:rsid w:val="00F254EC"/>
    <w:rsid w:val="00F25613"/>
    <w:rsid w:val="00F2675F"/>
    <w:rsid w:val="00F26DAF"/>
    <w:rsid w:val="00F272F8"/>
    <w:rsid w:val="00F27DD3"/>
    <w:rsid w:val="00F307FC"/>
    <w:rsid w:val="00F3129B"/>
    <w:rsid w:val="00F3191C"/>
    <w:rsid w:val="00F32589"/>
    <w:rsid w:val="00F3294D"/>
    <w:rsid w:val="00F33549"/>
    <w:rsid w:val="00F33C8A"/>
    <w:rsid w:val="00F34435"/>
    <w:rsid w:val="00F3617E"/>
    <w:rsid w:val="00F368CE"/>
    <w:rsid w:val="00F37917"/>
    <w:rsid w:val="00F40427"/>
    <w:rsid w:val="00F44C85"/>
    <w:rsid w:val="00F45225"/>
    <w:rsid w:val="00F463DB"/>
    <w:rsid w:val="00F46721"/>
    <w:rsid w:val="00F46C47"/>
    <w:rsid w:val="00F47EB6"/>
    <w:rsid w:val="00F50C42"/>
    <w:rsid w:val="00F52DF6"/>
    <w:rsid w:val="00F531AE"/>
    <w:rsid w:val="00F535DA"/>
    <w:rsid w:val="00F53634"/>
    <w:rsid w:val="00F5418A"/>
    <w:rsid w:val="00F54618"/>
    <w:rsid w:val="00F552DE"/>
    <w:rsid w:val="00F560CF"/>
    <w:rsid w:val="00F5641F"/>
    <w:rsid w:val="00F57727"/>
    <w:rsid w:val="00F57D22"/>
    <w:rsid w:val="00F6037A"/>
    <w:rsid w:val="00F603DB"/>
    <w:rsid w:val="00F61323"/>
    <w:rsid w:val="00F614C5"/>
    <w:rsid w:val="00F61806"/>
    <w:rsid w:val="00F61D53"/>
    <w:rsid w:val="00F61DBF"/>
    <w:rsid w:val="00F629CC"/>
    <w:rsid w:val="00F6429B"/>
    <w:rsid w:val="00F6501E"/>
    <w:rsid w:val="00F67440"/>
    <w:rsid w:val="00F67DE1"/>
    <w:rsid w:val="00F6D13A"/>
    <w:rsid w:val="00F70314"/>
    <w:rsid w:val="00F70835"/>
    <w:rsid w:val="00F70A73"/>
    <w:rsid w:val="00F70B3E"/>
    <w:rsid w:val="00F70DC1"/>
    <w:rsid w:val="00F7166E"/>
    <w:rsid w:val="00F7288B"/>
    <w:rsid w:val="00F7487C"/>
    <w:rsid w:val="00F75593"/>
    <w:rsid w:val="00F76329"/>
    <w:rsid w:val="00F76CF5"/>
    <w:rsid w:val="00F77951"/>
    <w:rsid w:val="00F8061A"/>
    <w:rsid w:val="00F809E0"/>
    <w:rsid w:val="00F81701"/>
    <w:rsid w:val="00F82AE3"/>
    <w:rsid w:val="00F83A1D"/>
    <w:rsid w:val="00F85A47"/>
    <w:rsid w:val="00F86864"/>
    <w:rsid w:val="00F87258"/>
    <w:rsid w:val="00F87380"/>
    <w:rsid w:val="00F87FAC"/>
    <w:rsid w:val="00F912A2"/>
    <w:rsid w:val="00F9178E"/>
    <w:rsid w:val="00F92446"/>
    <w:rsid w:val="00F930EC"/>
    <w:rsid w:val="00F9328C"/>
    <w:rsid w:val="00F9362E"/>
    <w:rsid w:val="00F938D4"/>
    <w:rsid w:val="00F94648"/>
    <w:rsid w:val="00F94F2F"/>
    <w:rsid w:val="00F96BA3"/>
    <w:rsid w:val="00F97E3E"/>
    <w:rsid w:val="00FA13CB"/>
    <w:rsid w:val="00FA18A2"/>
    <w:rsid w:val="00FA3012"/>
    <w:rsid w:val="00FA38CC"/>
    <w:rsid w:val="00FA40A9"/>
    <w:rsid w:val="00FA4150"/>
    <w:rsid w:val="00FA4AC6"/>
    <w:rsid w:val="00FA4D5A"/>
    <w:rsid w:val="00FA54A5"/>
    <w:rsid w:val="00FA6EEE"/>
    <w:rsid w:val="00FA7712"/>
    <w:rsid w:val="00FA7758"/>
    <w:rsid w:val="00FB09F9"/>
    <w:rsid w:val="00FB1723"/>
    <w:rsid w:val="00FB21E9"/>
    <w:rsid w:val="00FB4B98"/>
    <w:rsid w:val="00FB5103"/>
    <w:rsid w:val="00FB5783"/>
    <w:rsid w:val="00FB6E49"/>
    <w:rsid w:val="00FB76FD"/>
    <w:rsid w:val="00FB7AC6"/>
    <w:rsid w:val="00FB7B04"/>
    <w:rsid w:val="00FB7C03"/>
    <w:rsid w:val="00FC00F4"/>
    <w:rsid w:val="00FC04B0"/>
    <w:rsid w:val="00FC0A56"/>
    <w:rsid w:val="00FC174D"/>
    <w:rsid w:val="00FC2FC0"/>
    <w:rsid w:val="00FC36F0"/>
    <w:rsid w:val="00FC40D6"/>
    <w:rsid w:val="00FC4694"/>
    <w:rsid w:val="00FC4D6B"/>
    <w:rsid w:val="00FC5509"/>
    <w:rsid w:val="00FC5772"/>
    <w:rsid w:val="00FC5873"/>
    <w:rsid w:val="00FC5D9D"/>
    <w:rsid w:val="00FC66C1"/>
    <w:rsid w:val="00FC7431"/>
    <w:rsid w:val="00FC77C3"/>
    <w:rsid w:val="00FD01FF"/>
    <w:rsid w:val="00FD03C1"/>
    <w:rsid w:val="00FD1358"/>
    <w:rsid w:val="00FD1DC0"/>
    <w:rsid w:val="00FD2061"/>
    <w:rsid w:val="00FD21B1"/>
    <w:rsid w:val="00FD2228"/>
    <w:rsid w:val="00FD2B54"/>
    <w:rsid w:val="00FD422A"/>
    <w:rsid w:val="00FD5E62"/>
    <w:rsid w:val="00FE0444"/>
    <w:rsid w:val="00FE0D45"/>
    <w:rsid w:val="00FE17A8"/>
    <w:rsid w:val="00FE2401"/>
    <w:rsid w:val="00FE261A"/>
    <w:rsid w:val="00FE373C"/>
    <w:rsid w:val="00FE5645"/>
    <w:rsid w:val="00FE58E7"/>
    <w:rsid w:val="00FE7559"/>
    <w:rsid w:val="00FE795F"/>
    <w:rsid w:val="00FE7D4D"/>
    <w:rsid w:val="00FE7E0E"/>
    <w:rsid w:val="00FF042E"/>
    <w:rsid w:val="00FF05CF"/>
    <w:rsid w:val="00FF0A85"/>
    <w:rsid w:val="00FF292C"/>
    <w:rsid w:val="00FF3ED8"/>
    <w:rsid w:val="00FF4C47"/>
    <w:rsid w:val="00FF4C58"/>
    <w:rsid w:val="00FF5733"/>
    <w:rsid w:val="00FF7919"/>
    <w:rsid w:val="00FF7FDD"/>
    <w:rsid w:val="02258779"/>
    <w:rsid w:val="03F62410"/>
    <w:rsid w:val="04A6F07B"/>
    <w:rsid w:val="087988D8"/>
    <w:rsid w:val="093416E6"/>
    <w:rsid w:val="093A6DC6"/>
    <w:rsid w:val="09525369"/>
    <w:rsid w:val="0C61248E"/>
    <w:rsid w:val="0D3819A5"/>
    <w:rsid w:val="0DFCF4EF"/>
    <w:rsid w:val="0FD3DC05"/>
    <w:rsid w:val="1342A53D"/>
    <w:rsid w:val="16F6D199"/>
    <w:rsid w:val="17395B11"/>
    <w:rsid w:val="17A3E816"/>
    <w:rsid w:val="17CD0AA3"/>
    <w:rsid w:val="1861AC04"/>
    <w:rsid w:val="18963724"/>
    <w:rsid w:val="196111A5"/>
    <w:rsid w:val="1B43E8F5"/>
    <w:rsid w:val="1B6B02BD"/>
    <w:rsid w:val="1C2014C5"/>
    <w:rsid w:val="1D57FF74"/>
    <w:rsid w:val="1DA35C44"/>
    <w:rsid w:val="1DF96084"/>
    <w:rsid w:val="1E94C314"/>
    <w:rsid w:val="22AF41D7"/>
    <w:rsid w:val="22D4F5FF"/>
    <w:rsid w:val="23E384BD"/>
    <w:rsid w:val="24C10A54"/>
    <w:rsid w:val="254922A8"/>
    <w:rsid w:val="2929029D"/>
    <w:rsid w:val="29B248C1"/>
    <w:rsid w:val="2A8C5C13"/>
    <w:rsid w:val="2B9BB2EA"/>
    <w:rsid w:val="2D68D942"/>
    <w:rsid w:val="2D72E89B"/>
    <w:rsid w:val="2F0EB8FC"/>
    <w:rsid w:val="2FF5BAF1"/>
    <w:rsid w:val="30F2F277"/>
    <w:rsid w:val="31554E66"/>
    <w:rsid w:val="351982B9"/>
    <w:rsid w:val="38B2A6E5"/>
    <w:rsid w:val="39202F89"/>
    <w:rsid w:val="39647104"/>
    <w:rsid w:val="3A160D47"/>
    <w:rsid w:val="3AF6139C"/>
    <w:rsid w:val="3B12B672"/>
    <w:rsid w:val="3D660997"/>
    <w:rsid w:val="3E7C73FF"/>
    <w:rsid w:val="409FCD94"/>
    <w:rsid w:val="41EEE94A"/>
    <w:rsid w:val="42810994"/>
    <w:rsid w:val="42B0066E"/>
    <w:rsid w:val="42EF8851"/>
    <w:rsid w:val="43AAA18B"/>
    <w:rsid w:val="43B79360"/>
    <w:rsid w:val="4462DCFA"/>
    <w:rsid w:val="44911224"/>
    <w:rsid w:val="44A76139"/>
    <w:rsid w:val="44AE5EFB"/>
    <w:rsid w:val="4576C625"/>
    <w:rsid w:val="45FD24E1"/>
    <w:rsid w:val="4B31ED78"/>
    <w:rsid w:val="4B6737F9"/>
    <w:rsid w:val="4D03D5A4"/>
    <w:rsid w:val="4E97CC88"/>
    <w:rsid w:val="51D746C7"/>
    <w:rsid w:val="5289E2D2"/>
    <w:rsid w:val="55C1DCF8"/>
    <w:rsid w:val="5A5553E1"/>
    <w:rsid w:val="5B4C2595"/>
    <w:rsid w:val="5CF3DCDB"/>
    <w:rsid w:val="5E82C791"/>
    <w:rsid w:val="5F856860"/>
    <w:rsid w:val="5F8E6796"/>
    <w:rsid w:val="5FAC0069"/>
    <w:rsid w:val="6076AE5D"/>
    <w:rsid w:val="60A75E38"/>
    <w:rsid w:val="60D2EFDC"/>
    <w:rsid w:val="63CBAA17"/>
    <w:rsid w:val="65A14DF5"/>
    <w:rsid w:val="66496210"/>
    <w:rsid w:val="6835015C"/>
    <w:rsid w:val="6C3F42C6"/>
    <w:rsid w:val="6CB02C8B"/>
    <w:rsid w:val="6D7E6D0B"/>
    <w:rsid w:val="6FA7C543"/>
    <w:rsid w:val="702AC09D"/>
    <w:rsid w:val="70A6BAB1"/>
    <w:rsid w:val="72C50094"/>
    <w:rsid w:val="7403097A"/>
    <w:rsid w:val="75061CD7"/>
    <w:rsid w:val="7582C05A"/>
    <w:rsid w:val="78E129BF"/>
    <w:rsid w:val="7AC2F056"/>
    <w:rsid w:val="7C36E3B9"/>
    <w:rsid w:val="7DCDDC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15213"/>
  <w15:chartTrackingRefBased/>
  <w15:docId w15:val="{036DB52C-B8DB-4287-9023-8E267F17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footnote reference"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C7A"/>
    <w:pPr>
      <w:jc w:val="both"/>
    </w:pPr>
    <w:rPr>
      <w:sz w:val="24"/>
    </w:rPr>
  </w:style>
  <w:style w:type="paragraph" w:styleId="Heading1">
    <w:name w:val="heading 1"/>
    <w:basedOn w:val="Normal"/>
    <w:next w:val="Normal"/>
    <w:link w:val="Heading1Char"/>
    <w:qFormat/>
    <w:pPr>
      <w:keepNext/>
      <w:spacing w:after="120" w:line="480" w:lineRule="auto"/>
      <w:ind w:left="720" w:hanging="720"/>
      <w:jc w:val="center"/>
      <w:outlineLvl w:val="0"/>
    </w:pPr>
    <w:rPr>
      <w:b/>
      <w:caps/>
      <w:sz w:val="28"/>
    </w:rPr>
  </w:style>
  <w:style w:type="paragraph" w:styleId="Heading2">
    <w:name w:val="heading 2"/>
    <w:basedOn w:val="Heading1"/>
    <w:next w:val="Normal"/>
    <w:link w:val="Heading2Char"/>
    <w:qFormat/>
    <w:pPr>
      <w:numPr>
        <w:ilvl w:val="1"/>
        <w:numId w:val="10"/>
      </w:numPr>
      <w:jc w:val="left"/>
      <w:outlineLvl w:val="1"/>
    </w:pPr>
    <w:rPr>
      <w:caps w:val="0"/>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style>
  <w:style w:type="paragraph" w:styleId="Heading6">
    <w:name w:val="heading 6"/>
    <w:basedOn w:val="Heading5"/>
    <w:next w:val="Normal"/>
    <w:qFormat/>
    <w:pPr>
      <w:numPr>
        <w:ilvl w:val="5"/>
      </w:numPr>
      <w:outlineLvl w:val="5"/>
    </w:pPr>
  </w:style>
  <w:style w:type="paragraph" w:styleId="Heading7">
    <w:name w:val="heading 7"/>
    <w:basedOn w:val="Heading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uiPriority w:val="39"/>
    <w:rsid w:val="008A174B"/>
    <w:pPr>
      <w:keepNext w:val="0"/>
      <w:spacing w:before="360" w:after="0" w:line="240" w:lineRule="auto"/>
      <w:ind w:left="0" w:firstLine="0"/>
      <w:jc w:val="left"/>
      <w:outlineLvl w:val="9"/>
    </w:pPr>
    <w:rPr>
      <w:rFonts w:ascii="Times New Roman Bold" w:hAnsi="Times New Roman Bold" w:cs="Arial"/>
      <w:bCs/>
      <w:sz w:val="24"/>
      <w:szCs w:val="24"/>
    </w:rPr>
  </w:style>
  <w:style w:type="paragraph" w:styleId="TOC2">
    <w:name w:val="toc 2"/>
    <w:basedOn w:val="TOC1"/>
    <w:next w:val="Normal"/>
    <w:uiPriority w:val="39"/>
    <w:rsid w:val="00767C9F"/>
    <w:pPr>
      <w:spacing w:before="240"/>
    </w:pPr>
    <w:rPr>
      <w:rFonts w:cs="Times New Roman"/>
      <w:caps w:val="0"/>
      <w:szCs w:val="20"/>
    </w:rPr>
  </w:style>
  <w:style w:type="paragraph" w:styleId="TOC3">
    <w:name w:val="toc 3"/>
    <w:basedOn w:val="TOC2"/>
    <w:next w:val="Normal"/>
    <w:uiPriority w:val="39"/>
    <w:rsid w:val="00767C9F"/>
    <w:pPr>
      <w:spacing w:before="0"/>
      <w:ind w:left="240"/>
    </w:pPr>
    <w:rPr>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link w:val="ListParagraphChar"/>
    <w:uiPriority w:val="34"/>
    <w:qFormat/>
    <w:rsid w:val="00A43199"/>
    <w:pPr>
      <w:ind w:left="720"/>
      <w:contextualSpacing/>
    </w:pPr>
  </w:style>
  <w:style w:type="character" w:customStyle="1" w:styleId="NormaldoubleChar">
    <w:name w:val="Normal double Char"/>
    <w:link w:val="Normaldouble"/>
    <w:rsid w:val="004237D5"/>
    <w:rPr>
      <w:sz w:val="24"/>
    </w:rPr>
  </w:style>
  <w:style w:type="character" w:customStyle="1" w:styleId="HeaderChar">
    <w:name w:val="Header Char"/>
    <w:link w:val="Header"/>
    <w:uiPriority w:val="99"/>
    <w:rsid w:val="002A3FBA"/>
    <w:rPr>
      <w:sz w:val="24"/>
    </w:rPr>
  </w:style>
  <w:style w:type="character" w:styleId="CommentReference">
    <w:name w:val="annotation reference"/>
    <w:rsid w:val="00600A73"/>
    <w:rPr>
      <w:sz w:val="16"/>
      <w:szCs w:val="16"/>
    </w:rPr>
  </w:style>
  <w:style w:type="paragraph" w:styleId="CommentText">
    <w:name w:val="annotation text"/>
    <w:basedOn w:val="Normal"/>
    <w:link w:val="CommentTextChar"/>
    <w:rsid w:val="00600A73"/>
    <w:rPr>
      <w:sz w:val="20"/>
    </w:rPr>
  </w:style>
  <w:style w:type="character" w:customStyle="1" w:styleId="CommentTextChar">
    <w:name w:val="Comment Text Char"/>
    <w:basedOn w:val="DefaultParagraphFont"/>
    <w:link w:val="CommentText"/>
    <w:rsid w:val="00600A73"/>
  </w:style>
  <w:style w:type="paragraph" w:styleId="CommentSubject">
    <w:name w:val="annotation subject"/>
    <w:basedOn w:val="CommentText"/>
    <w:next w:val="CommentText"/>
    <w:link w:val="CommentSubjectChar"/>
    <w:rsid w:val="00600A73"/>
    <w:rPr>
      <w:b/>
      <w:bCs/>
    </w:rPr>
  </w:style>
  <w:style w:type="character" w:customStyle="1" w:styleId="CommentSubjectChar">
    <w:name w:val="Comment Subject Char"/>
    <w:link w:val="CommentSubject"/>
    <w:rsid w:val="00600A73"/>
    <w:rPr>
      <w:b/>
      <w:bCs/>
    </w:rPr>
  </w:style>
  <w:style w:type="paragraph" w:styleId="Revision">
    <w:name w:val="Revision"/>
    <w:hidden/>
    <w:uiPriority w:val="99"/>
    <w:semiHidden/>
    <w:rsid w:val="00D7039E"/>
    <w:rPr>
      <w:sz w:val="24"/>
    </w:rPr>
  </w:style>
  <w:style w:type="character" w:customStyle="1" w:styleId="DocketnumberChar">
    <w:name w:val="Docket number Char"/>
    <w:link w:val="Docketnumber"/>
    <w:locked/>
    <w:rsid w:val="00AD100B"/>
    <w:rPr>
      <w:b/>
      <w:caps/>
      <w:sz w:val="28"/>
    </w:rPr>
  </w:style>
  <w:style w:type="paragraph" w:styleId="TOCHeading">
    <w:name w:val="TOC Heading"/>
    <w:basedOn w:val="Heading1"/>
    <w:next w:val="Normal"/>
    <w:uiPriority w:val="39"/>
    <w:unhideWhenUsed/>
    <w:qFormat/>
    <w:rsid w:val="0082046C"/>
    <w:pPr>
      <w:keepLines/>
      <w:spacing w:before="240" w:after="0" w:line="259" w:lineRule="auto"/>
      <w:ind w:left="0" w:firstLine="0"/>
      <w:jc w:val="left"/>
      <w:outlineLvl w:val="9"/>
    </w:pPr>
    <w:rPr>
      <w:rFonts w:ascii="Calibri Light" w:hAnsi="Calibri Light"/>
      <w:b w:val="0"/>
      <w:caps w:val="0"/>
      <w:color w:val="2E74B5"/>
      <w:sz w:val="32"/>
      <w:szCs w:val="32"/>
    </w:rPr>
  </w:style>
  <w:style w:type="paragraph" w:customStyle="1" w:styleId="Style1">
    <w:name w:val="Style1"/>
    <w:basedOn w:val="ListParagraph"/>
    <w:link w:val="Style1Char"/>
    <w:qFormat/>
    <w:rsid w:val="00C761FD"/>
    <w:pPr>
      <w:keepNext/>
      <w:ind w:left="0"/>
    </w:pPr>
    <w:rPr>
      <w:szCs w:val="24"/>
    </w:rPr>
  </w:style>
  <w:style w:type="paragraph" w:customStyle="1" w:styleId="Style2">
    <w:name w:val="Style2"/>
    <w:basedOn w:val="Heading2"/>
    <w:link w:val="Style2Char"/>
    <w:qFormat/>
    <w:rsid w:val="00951A46"/>
    <w:pPr>
      <w:numPr>
        <w:ilvl w:val="0"/>
      </w:numPr>
    </w:pPr>
    <w:rPr>
      <w:sz w:val="24"/>
      <w:szCs w:val="24"/>
    </w:rPr>
  </w:style>
  <w:style w:type="character" w:customStyle="1" w:styleId="ListParagraphChar">
    <w:name w:val="List Paragraph Char"/>
    <w:link w:val="ListParagraph"/>
    <w:uiPriority w:val="34"/>
    <w:rsid w:val="00C761FD"/>
    <w:rPr>
      <w:sz w:val="24"/>
    </w:rPr>
  </w:style>
  <w:style w:type="character" w:customStyle="1" w:styleId="Style1Char">
    <w:name w:val="Style1 Char"/>
    <w:link w:val="Style1"/>
    <w:rsid w:val="00C761FD"/>
    <w:rPr>
      <w:sz w:val="24"/>
      <w:szCs w:val="24"/>
    </w:rPr>
  </w:style>
  <w:style w:type="character" w:customStyle="1" w:styleId="Heading1Char">
    <w:name w:val="Heading 1 Char"/>
    <w:link w:val="Heading1"/>
    <w:rsid w:val="00951A46"/>
    <w:rPr>
      <w:b/>
      <w:caps/>
      <w:sz w:val="28"/>
    </w:rPr>
  </w:style>
  <w:style w:type="character" w:customStyle="1" w:styleId="Heading2Char">
    <w:name w:val="Heading 2 Char"/>
    <w:link w:val="Heading2"/>
    <w:rsid w:val="00951A46"/>
    <w:rPr>
      <w:b/>
      <w:caps w:val="0"/>
      <w:sz w:val="28"/>
    </w:rPr>
  </w:style>
  <w:style w:type="character" w:customStyle="1" w:styleId="Style2Char">
    <w:name w:val="Style2 Char"/>
    <w:link w:val="Style2"/>
    <w:rsid w:val="00951A46"/>
    <w:rPr>
      <w:b/>
      <w:caps w:val="0"/>
      <w:sz w:val="24"/>
      <w:szCs w:val="24"/>
    </w:rPr>
  </w:style>
  <w:style w:type="numbering" w:customStyle="1" w:styleId="Style3">
    <w:name w:val="Style3"/>
    <w:uiPriority w:val="99"/>
    <w:rsid w:val="003574DA"/>
    <w:pPr>
      <w:numPr>
        <w:numId w:val="12"/>
      </w:numPr>
    </w:pPr>
  </w:style>
  <w:style w:type="character" w:customStyle="1" w:styleId="FootnoteTextChar">
    <w:name w:val="Footnote Text Char"/>
    <w:basedOn w:val="DefaultParagraphFont"/>
    <w:link w:val="FootnoteText"/>
    <w:semiHidden/>
    <w:rsid w:val="00227742"/>
  </w:style>
  <w:style w:type="character" w:styleId="UnresolvedMention">
    <w:name w:val="Unresolved Mention"/>
    <w:uiPriority w:val="99"/>
    <w:semiHidden/>
    <w:unhideWhenUsed/>
    <w:rsid w:val="0079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780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949BC-31FC-453A-96AB-D093DEB8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10297</Words>
  <Characters>56256</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66421</CharactersWithSpaces>
  <SharedDoc>false</SharedDoc>
  <HLinks>
    <vt:vector size="246" baseType="variant">
      <vt:variant>
        <vt:i4>1769531</vt:i4>
      </vt:variant>
      <vt:variant>
        <vt:i4>245</vt:i4>
      </vt:variant>
      <vt:variant>
        <vt:i4>0</vt:i4>
      </vt:variant>
      <vt:variant>
        <vt:i4>5</vt:i4>
      </vt:variant>
      <vt:variant>
        <vt:lpwstr/>
      </vt:variant>
      <vt:variant>
        <vt:lpwstr>_Toc140498340</vt:lpwstr>
      </vt:variant>
      <vt:variant>
        <vt:i4>1835067</vt:i4>
      </vt:variant>
      <vt:variant>
        <vt:i4>239</vt:i4>
      </vt:variant>
      <vt:variant>
        <vt:i4>0</vt:i4>
      </vt:variant>
      <vt:variant>
        <vt:i4>5</vt:i4>
      </vt:variant>
      <vt:variant>
        <vt:lpwstr/>
      </vt:variant>
      <vt:variant>
        <vt:lpwstr>_Toc140498339</vt:lpwstr>
      </vt:variant>
      <vt:variant>
        <vt:i4>1835067</vt:i4>
      </vt:variant>
      <vt:variant>
        <vt:i4>233</vt:i4>
      </vt:variant>
      <vt:variant>
        <vt:i4>0</vt:i4>
      </vt:variant>
      <vt:variant>
        <vt:i4>5</vt:i4>
      </vt:variant>
      <vt:variant>
        <vt:lpwstr/>
      </vt:variant>
      <vt:variant>
        <vt:lpwstr>_Toc140498338</vt:lpwstr>
      </vt:variant>
      <vt:variant>
        <vt:i4>1835067</vt:i4>
      </vt:variant>
      <vt:variant>
        <vt:i4>227</vt:i4>
      </vt:variant>
      <vt:variant>
        <vt:i4>0</vt:i4>
      </vt:variant>
      <vt:variant>
        <vt:i4>5</vt:i4>
      </vt:variant>
      <vt:variant>
        <vt:lpwstr/>
      </vt:variant>
      <vt:variant>
        <vt:lpwstr>_Toc140498337</vt:lpwstr>
      </vt:variant>
      <vt:variant>
        <vt:i4>1835067</vt:i4>
      </vt:variant>
      <vt:variant>
        <vt:i4>221</vt:i4>
      </vt:variant>
      <vt:variant>
        <vt:i4>0</vt:i4>
      </vt:variant>
      <vt:variant>
        <vt:i4>5</vt:i4>
      </vt:variant>
      <vt:variant>
        <vt:lpwstr/>
      </vt:variant>
      <vt:variant>
        <vt:lpwstr>_Toc140498336</vt:lpwstr>
      </vt:variant>
      <vt:variant>
        <vt:i4>1835067</vt:i4>
      </vt:variant>
      <vt:variant>
        <vt:i4>215</vt:i4>
      </vt:variant>
      <vt:variant>
        <vt:i4>0</vt:i4>
      </vt:variant>
      <vt:variant>
        <vt:i4>5</vt:i4>
      </vt:variant>
      <vt:variant>
        <vt:lpwstr/>
      </vt:variant>
      <vt:variant>
        <vt:lpwstr>_Toc140498335</vt:lpwstr>
      </vt:variant>
      <vt:variant>
        <vt:i4>1835067</vt:i4>
      </vt:variant>
      <vt:variant>
        <vt:i4>209</vt:i4>
      </vt:variant>
      <vt:variant>
        <vt:i4>0</vt:i4>
      </vt:variant>
      <vt:variant>
        <vt:i4>5</vt:i4>
      </vt:variant>
      <vt:variant>
        <vt:lpwstr/>
      </vt:variant>
      <vt:variant>
        <vt:lpwstr>_Toc140498334</vt:lpwstr>
      </vt:variant>
      <vt:variant>
        <vt:i4>1835067</vt:i4>
      </vt:variant>
      <vt:variant>
        <vt:i4>203</vt:i4>
      </vt:variant>
      <vt:variant>
        <vt:i4>0</vt:i4>
      </vt:variant>
      <vt:variant>
        <vt:i4>5</vt:i4>
      </vt:variant>
      <vt:variant>
        <vt:lpwstr/>
      </vt:variant>
      <vt:variant>
        <vt:lpwstr>_Toc140498333</vt:lpwstr>
      </vt:variant>
      <vt:variant>
        <vt:i4>1835067</vt:i4>
      </vt:variant>
      <vt:variant>
        <vt:i4>197</vt:i4>
      </vt:variant>
      <vt:variant>
        <vt:i4>0</vt:i4>
      </vt:variant>
      <vt:variant>
        <vt:i4>5</vt:i4>
      </vt:variant>
      <vt:variant>
        <vt:lpwstr/>
      </vt:variant>
      <vt:variant>
        <vt:lpwstr>_Toc140498332</vt:lpwstr>
      </vt:variant>
      <vt:variant>
        <vt:i4>1835067</vt:i4>
      </vt:variant>
      <vt:variant>
        <vt:i4>191</vt:i4>
      </vt:variant>
      <vt:variant>
        <vt:i4>0</vt:i4>
      </vt:variant>
      <vt:variant>
        <vt:i4>5</vt:i4>
      </vt:variant>
      <vt:variant>
        <vt:lpwstr/>
      </vt:variant>
      <vt:variant>
        <vt:lpwstr>_Toc140498331</vt:lpwstr>
      </vt:variant>
      <vt:variant>
        <vt:i4>1835067</vt:i4>
      </vt:variant>
      <vt:variant>
        <vt:i4>185</vt:i4>
      </vt:variant>
      <vt:variant>
        <vt:i4>0</vt:i4>
      </vt:variant>
      <vt:variant>
        <vt:i4>5</vt:i4>
      </vt:variant>
      <vt:variant>
        <vt:lpwstr/>
      </vt:variant>
      <vt:variant>
        <vt:lpwstr>_Toc140498330</vt:lpwstr>
      </vt:variant>
      <vt:variant>
        <vt:i4>1900603</vt:i4>
      </vt:variant>
      <vt:variant>
        <vt:i4>179</vt:i4>
      </vt:variant>
      <vt:variant>
        <vt:i4>0</vt:i4>
      </vt:variant>
      <vt:variant>
        <vt:i4>5</vt:i4>
      </vt:variant>
      <vt:variant>
        <vt:lpwstr/>
      </vt:variant>
      <vt:variant>
        <vt:lpwstr>_Toc140498329</vt:lpwstr>
      </vt:variant>
      <vt:variant>
        <vt:i4>1900603</vt:i4>
      </vt:variant>
      <vt:variant>
        <vt:i4>173</vt:i4>
      </vt:variant>
      <vt:variant>
        <vt:i4>0</vt:i4>
      </vt:variant>
      <vt:variant>
        <vt:i4>5</vt:i4>
      </vt:variant>
      <vt:variant>
        <vt:lpwstr/>
      </vt:variant>
      <vt:variant>
        <vt:lpwstr>_Toc140498328</vt:lpwstr>
      </vt:variant>
      <vt:variant>
        <vt:i4>1900603</vt:i4>
      </vt:variant>
      <vt:variant>
        <vt:i4>167</vt:i4>
      </vt:variant>
      <vt:variant>
        <vt:i4>0</vt:i4>
      </vt:variant>
      <vt:variant>
        <vt:i4>5</vt:i4>
      </vt:variant>
      <vt:variant>
        <vt:lpwstr/>
      </vt:variant>
      <vt:variant>
        <vt:lpwstr>_Toc140498327</vt:lpwstr>
      </vt:variant>
      <vt:variant>
        <vt:i4>1900603</vt:i4>
      </vt:variant>
      <vt:variant>
        <vt:i4>161</vt:i4>
      </vt:variant>
      <vt:variant>
        <vt:i4>0</vt:i4>
      </vt:variant>
      <vt:variant>
        <vt:i4>5</vt:i4>
      </vt:variant>
      <vt:variant>
        <vt:lpwstr/>
      </vt:variant>
      <vt:variant>
        <vt:lpwstr>_Toc140498326</vt:lpwstr>
      </vt:variant>
      <vt:variant>
        <vt:i4>1900603</vt:i4>
      </vt:variant>
      <vt:variant>
        <vt:i4>155</vt:i4>
      </vt:variant>
      <vt:variant>
        <vt:i4>0</vt:i4>
      </vt:variant>
      <vt:variant>
        <vt:i4>5</vt:i4>
      </vt:variant>
      <vt:variant>
        <vt:lpwstr/>
      </vt:variant>
      <vt:variant>
        <vt:lpwstr>_Toc140498325</vt:lpwstr>
      </vt:variant>
      <vt:variant>
        <vt:i4>1900603</vt:i4>
      </vt:variant>
      <vt:variant>
        <vt:i4>149</vt:i4>
      </vt:variant>
      <vt:variant>
        <vt:i4>0</vt:i4>
      </vt:variant>
      <vt:variant>
        <vt:i4>5</vt:i4>
      </vt:variant>
      <vt:variant>
        <vt:lpwstr/>
      </vt:variant>
      <vt:variant>
        <vt:lpwstr>_Toc140498324</vt:lpwstr>
      </vt:variant>
      <vt:variant>
        <vt:i4>1900603</vt:i4>
      </vt:variant>
      <vt:variant>
        <vt:i4>143</vt:i4>
      </vt:variant>
      <vt:variant>
        <vt:i4>0</vt:i4>
      </vt:variant>
      <vt:variant>
        <vt:i4>5</vt:i4>
      </vt:variant>
      <vt:variant>
        <vt:lpwstr/>
      </vt:variant>
      <vt:variant>
        <vt:lpwstr>_Toc140498323</vt:lpwstr>
      </vt:variant>
      <vt:variant>
        <vt:i4>1900603</vt:i4>
      </vt:variant>
      <vt:variant>
        <vt:i4>137</vt:i4>
      </vt:variant>
      <vt:variant>
        <vt:i4>0</vt:i4>
      </vt:variant>
      <vt:variant>
        <vt:i4>5</vt:i4>
      </vt:variant>
      <vt:variant>
        <vt:lpwstr/>
      </vt:variant>
      <vt:variant>
        <vt:lpwstr>_Toc140498322</vt:lpwstr>
      </vt:variant>
      <vt:variant>
        <vt:i4>1900603</vt:i4>
      </vt:variant>
      <vt:variant>
        <vt:i4>131</vt:i4>
      </vt:variant>
      <vt:variant>
        <vt:i4>0</vt:i4>
      </vt:variant>
      <vt:variant>
        <vt:i4>5</vt:i4>
      </vt:variant>
      <vt:variant>
        <vt:lpwstr/>
      </vt:variant>
      <vt:variant>
        <vt:lpwstr>_Toc140498321</vt:lpwstr>
      </vt:variant>
      <vt:variant>
        <vt:i4>1900603</vt:i4>
      </vt:variant>
      <vt:variant>
        <vt:i4>125</vt:i4>
      </vt:variant>
      <vt:variant>
        <vt:i4>0</vt:i4>
      </vt:variant>
      <vt:variant>
        <vt:i4>5</vt:i4>
      </vt:variant>
      <vt:variant>
        <vt:lpwstr/>
      </vt:variant>
      <vt:variant>
        <vt:lpwstr>_Toc140498320</vt:lpwstr>
      </vt:variant>
      <vt:variant>
        <vt:i4>1966139</vt:i4>
      </vt:variant>
      <vt:variant>
        <vt:i4>119</vt:i4>
      </vt:variant>
      <vt:variant>
        <vt:i4>0</vt:i4>
      </vt:variant>
      <vt:variant>
        <vt:i4>5</vt:i4>
      </vt:variant>
      <vt:variant>
        <vt:lpwstr/>
      </vt:variant>
      <vt:variant>
        <vt:lpwstr>_Toc140498319</vt:lpwstr>
      </vt:variant>
      <vt:variant>
        <vt:i4>1966139</vt:i4>
      </vt:variant>
      <vt:variant>
        <vt:i4>113</vt:i4>
      </vt:variant>
      <vt:variant>
        <vt:i4>0</vt:i4>
      </vt:variant>
      <vt:variant>
        <vt:i4>5</vt:i4>
      </vt:variant>
      <vt:variant>
        <vt:lpwstr/>
      </vt:variant>
      <vt:variant>
        <vt:lpwstr>_Toc140498318</vt:lpwstr>
      </vt:variant>
      <vt:variant>
        <vt:i4>1966139</vt:i4>
      </vt:variant>
      <vt:variant>
        <vt:i4>107</vt:i4>
      </vt:variant>
      <vt:variant>
        <vt:i4>0</vt:i4>
      </vt:variant>
      <vt:variant>
        <vt:i4>5</vt:i4>
      </vt:variant>
      <vt:variant>
        <vt:lpwstr/>
      </vt:variant>
      <vt:variant>
        <vt:lpwstr>_Toc140498317</vt:lpwstr>
      </vt:variant>
      <vt:variant>
        <vt:i4>1966139</vt:i4>
      </vt:variant>
      <vt:variant>
        <vt:i4>101</vt:i4>
      </vt:variant>
      <vt:variant>
        <vt:i4>0</vt:i4>
      </vt:variant>
      <vt:variant>
        <vt:i4>5</vt:i4>
      </vt:variant>
      <vt:variant>
        <vt:lpwstr/>
      </vt:variant>
      <vt:variant>
        <vt:lpwstr>_Toc140498316</vt:lpwstr>
      </vt:variant>
      <vt:variant>
        <vt:i4>1966139</vt:i4>
      </vt:variant>
      <vt:variant>
        <vt:i4>95</vt:i4>
      </vt:variant>
      <vt:variant>
        <vt:i4>0</vt:i4>
      </vt:variant>
      <vt:variant>
        <vt:i4>5</vt:i4>
      </vt:variant>
      <vt:variant>
        <vt:lpwstr/>
      </vt:variant>
      <vt:variant>
        <vt:lpwstr>_Toc140498315</vt:lpwstr>
      </vt:variant>
      <vt:variant>
        <vt:i4>1966139</vt:i4>
      </vt:variant>
      <vt:variant>
        <vt:i4>89</vt:i4>
      </vt:variant>
      <vt:variant>
        <vt:i4>0</vt:i4>
      </vt:variant>
      <vt:variant>
        <vt:i4>5</vt:i4>
      </vt:variant>
      <vt:variant>
        <vt:lpwstr/>
      </vt:variant>
      <vt:variant>
        <vt:lpwstr>_Toc140498314</vt:lpwstr>
      </vt:variant>
      <vt:variant>
        <vt:i4>1966139</vt:i4>
      </vt:variant>
      <vt:variant>
        <vt:i4>83</vt:i4>
      </vt:variant>
      <vt:variant>
        <vt:i4>0</vt:i4>
      </vt:variant>
      <vt:variant>
        <vt:i4>5</vt:i4>
      </vt:variant>
      <vt:variant>
        <vt:lpwstr/>
      </vt:variant>
      <vt:variant>
        <vt:lpwstr>_Toc140498313</vt:lpwstr>
      </vt:variant>
      <vt:variant>
        <vt:i4>1966139</vt:i4>
      </vt:variant>
      <vt:variant>
        <vt:i4>77</vt:i4>
      </vt:variant>
      <vt:variant>
        <vt:i4>0</vt:i4>
      </vt:variant>
      <vt:variant>
        <vt:i4>5</vt:i4>
      </vt:variant>
      <vt:variant>
        <vt:lpwstr/>
      </vt:variant>
      <vt:variant>
        <vt:lpwstr>_Toc140498312</vt:lpwstr>
      </vt:variant>
      <vt:variant>
        <vt:i4>1966139</vt:i4>
      </vt:variant>
      <vt:variant>
        <vt:i4>71</vt:i4>
      </vt:variant>
      <vt:variant>
        <vt:i4>0</vt:i4>
      </vt:variant>
      <vt:variant>
        <vt:i4>5</vt:i4>
      </vt:variant>
      <vt:variant>
        <vt:lpwstr/>
      </vt:variant>
      <vt:variant>
        <vt:lpwstr>_Toc140498311</vt:lpwstr>
      </vt:variant>
      <vt:variant>
        <vt:i4>1966139</vt:i4>
      </vt:variant>
      <vt:variant>
        <vt:i4>65</vt:i4>
      </vt:variant>
      <vt:variant>
        <vt:i4>0</vt:i4>
      </vt:variant>
      <vt:variant>
        <vt:i4>5</vt:i4>
      </vt:variant>
      <vt:variant>
        <vt:lpwstr/>
      </vt:variant>
      <vt:variant>
        <vt:lpwstr>_Toc140498310</vt:lpwstr>
      </vt:variant>
      <vt:variant>
        <vt:i4>2031675</vt:i4>
      </vt:variant>
      <vt:variant>
        <vt:i4>59</vt:i4>
      </vt:variant>
      <vt:variant>
        <vt:i4>0</vt:i4>
      </vt:variant>
      <vt:variant>
        <vt:i4>5</vt:i4>
      </vt:variant>
      <vt:variant>
        <vt:lpwstr/>
      </vt:variant>
      <vt:variant>
        <vt:lpwstr>_Toc140498309</vt:lpwstr>
      </vt:variant>
      <vt:variant>
        <vt:i4>2031675</vt:i4>
      </vt:variant>
      <vt:variant>
        <vt:i4>53</vt:i4>
      </vt:variant>
      <vt:variant>
        <vt:i4>0</vt:i4>
      </vt:variant>
      <vt:variant>
        <vt:i4>5</vt:i4>
      </vt:variant>
      <vt:variant>
        <vt:lpwstr/>
      </vt:variant>
      <vt:variant>
        <vt:lpwstr>_Toc140498308</vt:lpwstr>
      </vt:variant>
      <vt:variant>
        <vt:i4>2031675</vt:i4>
      </vt:variant>
      <vt:variant>
        <vt:i4>47</vt:i4>
      </vt:variant>
      <vt:variant>
        <vt:i4>0</vt:i4>
      </vt:variant>
      <vt:variant>
        <vt:i4>5</vt:i4>
      </vt:variant>
      <vt:variant>
        <vt:lpwstr/>
      </vt:variant>
      <vt:variant>
        <vt:lpwstr>_Toc140498307</vt:lpwstr>
      </vt:variant>
      <vt:variant>
        <vt:i4>2031675</vt:i4>
      </vt:variant>
      <vt:variant>
        <vt:i4>41</vt:i4>
      </vt:variant>
      <vt:variant>
        <vt:i4>0</vt:i4>
      </vt:variant>
      <vt:variant>
        <vt:i4>5</vt:i4>
      </vt:variant>
      <vt:variant>
        <vt:lpwstr/>
      </vt:variant>
      <vt:variant>
        <vt:lpwstr>_Toc140498306</vt:lpwstr>
      </vt:variant>
      <vt:variant>
        <vt:i4>2031675</vt:i4>
      </vt:variant>
      <vt:variant>
        <vt:i4>35</vt:i4>
      </vt:variant>
      <vt:variant>
        <vt:i4>0</vt:i4>
      </vt:variant>
      <vt:variant>
        <vt:i4>5</vt:i4>
      </vt:variant>
      <vt:variant>
        <vt:lpwstr/>
      </vt:variant>
      <vt:variant>
        <vt:lpwstr>_Toc140498305</vt:lpwstr>
      </vt:variant>
      <vt:variant>
        <vt:i4>2031675</vt:i4>
      </vt:variant>
      <vt:variant>
        <vt:i4>29</vt:i4>
      </vt:variant>
      <vt:variant>
        <vt:i4>0</vt:i4>
      </vt:variant>
      <vt:variant>
        <vt:i4>5</vt:i4>
      </vt:variant>
      <vt:variant>
        <vt:lpwstr/>
      </vt:variant>
      <vt:variant>
        <vt:lpwstr>_Toc140498304</vt:lpwstr>
      </vt:variant>
      <vt:variant>
        <vt:i4>2031675</vt:i4>
      </vt:variant>
      <vt:variant>
        <vt:i4>23</vt:i4>
      </vt:variant>
      <vt:variant>
        <vt:i4>0</vt:i4>
      </vt:variant>
      <vt:variant>
        <vt:i4>5</vt:i4>
      </vt:variant>
      <vt:variant>
        <vt:lpwstr/>
      </vt:variant>
      <vt:variant>
        <vt:lpwstr>_Toc140498303</vt:lpwstr>
      </vt:variant>
      <vt:variant>
        <vt:i4>2031675</vt:i4>
      </vt:variant>
      <vt:variant>
        <vt:i4>17</vt:i4>
      </vt:variant>
      <vt:variant>
        <vt:i4>0</vt:i4>
      </vt:variant>
      <vt:variant>
        <vt:i4>5</vt:i4>
      </vt:variant>
      <vt:variant>
        <vt:lpwstr/>
      </vt:variant>
      <vt:variant>
        <vt:lpwstr>_Toc140498302</vt:lpwstr>
      </vt:variant>
      <vt:variant>
        <vt:i4>2031675</vt:i4>
      </vt:variant>
      <vt:variant>
        <vt:i4>11</vt:i4>
      </vt:variant>
      <vt:variant>
        <vt:i4>0</vt:i4>
      </vt:variant>
      <vt:variant>
        <vt:i4>5</vt:i4>
      </vt:variant>
      <vt:variant>
        <vt:lpwstr/>
      </vt:variant>
      <vt:variant>
        <vt:lpwstr>_Toc140498301</vt:lpwstr>
      </vt:variant>
      <vt:variant>
        <vt:i4>2031675</vt:i4>
      </vt:variant>
      <vt:variant>
        <vt:i4>5</vt:i4>
      </vt:variant>
      <vt:variant>
        <vt:i4>0</vt:i4>
      </vt:variant>
      <vt:variant>
        <vt:i4>5</vt:i4>
      </vt:variant>
      <vt:variant>
        <vt:lpwstr/>
      </vt:variant>
      <vt:variant>
        <vt:lpwstr>_Toc140498300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 W</cp:lastModifiedBy>
  <cp:revision>2</cp:revision>
  <cp:lastPrinted>2023-07-31T17:40:00Z</cp:lastPrinted>
  <dcterms:created xsi:type="dcterms:W3CDTF">2023-08-03T18:50:00Z</dcterms:created>
  <dcterms:modified xsi:type="dcterms:W3CDTF">2023-08-03T18:50:00Z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Enabled">
    <vt:lpwstr>true</vt:lpwstr>
  </property>
  <property fmtid="{D5CDD505-2E9C-101B-9397-08002B2CF9AE}" pid="3" name="MSIP_Label_4391f082-e357-48ae-be1c-7e151bab59c6_SetDate">
    <vt:lpwstr>2023-08-03T03:25:08Z</vt:lpwstr>
  </property>
  <property fmtid="{D5CDD505-2E9C-101B-9397-08002B2CF9AE}" pid="4" name="MSIP_Label_4391f082-e357-48ae-be1c-7e151bab59c6_Method">
    <vt:lpwstr>Standard</vt:lpwstr>
  </property>
  <property fmtid="{D5CDD505-2E9C-101B-9397-08002B2CF9AE}" pid="5" name="MSIP_Label_4391f082-e357-48ae-be1c-7e151bab59c6_Name">
    <vt:lpwstr>4391f082-e357-48ae-be1c-7e151bab59c6</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ActionId">
    <vt:lpwstr>9ce8afc0-48e0-41c4-8c88-c51f468570c9</vt:lpwstr>
  </property>
  <property fmtid="{D5CDD505-2E9C-101B-9397-08002B2CF9AE}" pid="8" name="MSIP_Label_4391f082-e357-48ae-be1c-7e151bab59c6_ContentBits">
    <vt:lpwstr>0</vt:lpwstr>
  </property>
</Properties>
</file>